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7BCE" w14:textId="77777777" w:rsidR="009E3AC7" w:rsidRPr="00ED6025" w:rsidRDefault="009E3AC7" w:rsidP="00F0090E">
      <w:pPr>
        <w:pBdr>
          <w:top w:val="triple" w:sz="4" w:space="1" w:color="auto"/>
          <w:left w:val="triple" w:sz="4" w:space="4" w:color="auto"/>
          <w:bottom w:val="triple" w:sz="4" w:space="12" w:color="auto"/>
          <w:right w:val="triple" w:sz="4" w:space="4" w:color="auto"/>
        </w:pBdr>
        <w:tabs>
          <w:tab w:val="left" w:pos="3675"/>
          <w:tab w:val="center" w:pos="5400"/>
        </w:tabs>
        <w:spacing w:line="192" w:lineRule="auto"/>
        <w:jc w:val="center"/>
        <w:rPr>
          <w:rFonts w:ascii="Times New Roman" w:hAnsi="Times New Roman" w:cs="Times New Roman"/>
          <w:b/>
          <w:sz w:val="24"/>
          <w:szCs w:val="24"/>
        </w:rPr>
      </w:pPr>
    </w:p>
    <w:p w14:paraId="7EDB7828" w14:textId="77777777" w:rsidR="005D2C6F" w:rsidRPr="00ED6025" w:rsidRDefault="00165F4F" w:rsidP="00F0090E">
      <w:pPr>
        <w:pBdr>
          <w:top w:val="triple" w:sz="4" w:space="1" w:color="auto"/>
          <w:left w:val="triple" w:sz="4" w:space="4" w:color="auto"/>
          <w:bottom w:val="triple" w:sz="4" w:space="12" w:color="auto"/>
          <w:right w:val="triple" w:sz="4" w:space="4" w:color="auto"/>
        </w:pBdr>
        <w:tabs>
          <w:tab w:val="left" w:pos="3675"/>
          <w:tab w:val="center" w:pos="5400"/>
        </w:tabs>
        <w:spacing w:line="192" w:lineRule="auto"/>
        <w:jc w:val="center"/>
        <w:rPr>
          <w:rFonts w:ascii="Times New Roman" w:hAnsi="Times New Roman" w:cs="Times New Roman"/>
          <w:b/>
          <w:sz w:val="24"/>
          <w:szCs w:val="24"/>
        </w:rPr>
      </w:pPr>
      <w:r w:rsidRPr="00ED6025">
        <w:rPr>
          <w:rFonts w:ascii="Times New Roman" w:hAnsi="Times New Roman" w:cs="Times New Roman"/>
          <w:b/>
          <w:sz w:val="24"/>
          <w:szCs w:val="24"/>
        </w:rPr>
        <w:t>TEXAS CENTER FOR INFECTIOUS DISEASE</w:t>
      </w:r>
    </w:p>
    <w:p w14:paraId="449D8D11" w14:textId="77777777" w:rsidR="00165F4F" w:rsidRPr="00ED6025" w:rsidRDefault="00165F4F" w:rsidP="00F0090E">
      <w:pPr>
        <w:pBdr>
          <w:top w:val="triple" w:sz="4" w:space="1" w:color="auto"/>
          <w:left w:val="triple" w:sz="4" w:space="4" w:color="auto"/>
          <w:bottom w:val="triple" w:sz="4" w:space="12" w:color="auto"/>
          <w:right w:val="triple" w:sz="4" w:space="4" w:color="auto"/>
        </w:pBdr>
        <w:spacing w:line="192" w:lineRule="auto"/>
        <w:jc w:val="center"/>
        <w:rPr>
          <w:rFonts w:ascii="Times New Roman" w:hAnsi="Times New Roman" w:cs="Times New Roman"/>
          <w:b/>
          <w:sz w:val="24"/>
          <w:szCs w:val="24"/>
        </w:rPr>
      </w:pPr>
      <w:r w:rsidRPr="00ED6025">
        <w:rPr>
          <w:rFonts w:ascii="Times New Roman" w:hAnsi="Times New Roman" w:cs="Times New Roman"/>
          <w:b/>
          <w:sz w:val="24"/>
          <w:szCs w:val="24"/>
        </w:rPr>
        <w:t>A UNIT OF THE TEXAS DEPARTMENT OF STATE HEALTH SERVICES</w:t>
      </w:r>
    </w:p>
    <w:p w14:paraId="6B39ACCD" w14:textId="77777777" w:rsidR="00165F4F" w:rsidRPr="00ED6025" w:rsidRDefault="00165F4F" w:rsidP="00F0090E">
      <w:pPr>
        <w:pBdr>
          <w:top w:val="triple" w:sz="4" w:space="1" w:color="auto"/>
          <w:left w:val="triple" w:sz="4" w:space="4" w:color="auto"/>
          <w:bottom w:val="triple" w:sz="4" w:space="12" w:color="auto"/>
          <w:right w:val="triple" w:sz="4" w:space="4" w:color="auto"/>
        </w:pBdr>
        <w:spacing w:line="192" w:lineRule="auto"/>
        <w:jc w:val="center"/>
        <w:rPr>
          <w:rFonts w:ascii="Times New Roman" w:hAnsi="Times New Roman" w:cs="Times New Roman"/>
          <w:b/>
          <w:sz w:val="24"/>
          <w:szCs w:val="24"/>
        </w:rPr>
      </w:pPr>
      <w:r w:rsidRPr="00ED6025">
        <w:rPr>
          <w:rFonts w:ascii="Times New Roman" w:hAnsi="Times New Roman" w:cs="Times New Roman"/>
          <w:b/>
          <w:sz w:val="24"/>
          <w:szCs w:val="24"/>
        </w:rPr>
        <w:t>2303 S.E. MILITARY DRIVE</w:t>
      </w:r>
    </w:p>
    <w:p w14:paraId="1EA71655" w14:textId="77777777" w:rsidR="00165F4F" w:rsidRPr="00ED6025" w:rsidRDefault="009E3AC7" w:rsidP="00F0090E">
      <w:pPr>
        <w:pBdr>
          <w:top w:val="triple" w:sz="4" w:space="1" w:color="auto"/>
          <w:left w:val="triple" w:sz="4" w:space="4" w:color="auto"/>
          <w:bottom w:val="triple" w:sz="4" w:space="12" w:color="auto"/>
          <w:right w:val="triple" w:sz="4" w:space="4" w:color="auto"/>
        </w:pBdr>
        <w:spacing w:line="192" w:lineRule="auto"/>
        <w:jc w:val="center"/>
        <w:rPr>
          <w:rFonts w:ascii="Times New Roman" w:hAnsi="Times New Roman" w:cs="Times New Roman"/>
          <w:b/>
          <w:sz w:val="24"/>
          <w:szCs w:val="24"/>
        </w:rPr>
      </w:pPr>
      <w:r w:rsidRPr="00ED6025">
        <w:rPr>
          <w:rFonts w:ascii="Times New Roman" w:hAnsi="Times New Roman" w:cs="Times New Roman"/>
          <w:noProof/>
          <w:sz w:val="24"/>
          <w:szCs w:val="24"/>
        </w:rPr>
        <w:drawing>
          <wp:anchor distT="0" distB="0" distL="114300" distR="114300" simplePos="0" relativeHeight="251659264" behindDoc="1" locked="0" layoutInCell="1" allowOverlap="1" wp14:anchorId="5D36E799" wp14:editId="589F960C">
            <wp:simplePos x="0" y="0"/>
            <wp:positionH relativeFrom="margin">
              <wp:posOffset>1428750</wp:posOffset>
            </wp:positionH>
            <wp:positionV relativeFrom="paragraph">
              <wp:posOffset>160020</wp:posOffset>
            </wp:positionV>
            <wp:extent cx="3076575" cy="542925"/>
            <wp:effectExtent l="0" t="0" r="9525" b="9525"/>
            <wp:wrapNone/>
            <wp:docPr id="1" name="Picture 1" descr="DSHS-standard-color-web"/>
            <wp:cNvGraphicFramePr/>
            <a:graphic xmlns:a="http://schemas.openxmlformats.org/drawingml/2006/main">
              <a:graphicData uri="http://schemas.openxmlformats.org/drawingml/2006/picture">
                <pic:pic xmlns:pic="http://schemas.openxmlformats.org/drawingml/2006/picture">
                  <pic:nvPicPr>
                    <pic:cNvPr id="1" name="Picture 1" descr="DSHS-standard-color-web"/>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542925"/>
                    </a:xfrm>
                    <a:prstGeom prst="rect">
                      <a:avLst/>
                    </a:prstGeom>
                    <a:noFill/>
                    <a:ln>
                      <a:noFill/>
                    </a:ln>
                  </pic:spPr>
                </pic:pic>
              </a:graphicData>
            </a:graphic>
            <wp14:sizeRelV relativeFrom="margin">
              <wp14:pctHeight>0</wp14:pctHeight>
            </wp14:sizeRelV>
          </wp:anchor>
        </w:drawing>
      </w:r>
      <w:r w:rsidR="00165F4F" w:rsidRPr="00ED6025">
        <w:rPr>
          <w:rFonts w:ascii="Times New Roman" w:hAnsi="Times New Roman" w:cs="Times New Roman"/>
          <w:b/>
          <w:sz w:val="24"/>
          <w:szCs w:val="24"/>
        </w:rPr>
        <w:t>SAN ANTONIO, TEXAS 78223</w:t>
      </w:r>
    </w:p>
    <w:p w14:paraId="0B10770D" w14:textId="77777777" w:rsidR="009E3AC7" w:rsidRPr="00ED6025" w:rsidRDefault="009E3AC7" w:rsidP="00F0090E">
      <w:pPr>
        <w:pBdr>
          <w:top w:val="triple" w:sz="4" w:space="1" w:color="auto"/>
          <w:left w:val="triple" w:sz="4" w:space="4" w:color="auto"/>
          <w:bottom w:val="triple" w:sz="4" w:space="12" w:color="auto"/>
          <w:right w:val="triple" w:sz="4" w:space="4" w:color="auto"/>
        </w:pBdr>
        <w:spacing w:line="192" w:lineRule="auto"/>
        <w:jc w:val="center"/>
        <w:rPr>
          <w:rFonts w:ascii="Times New Roman" w:hAnsi="Times New Roman" w:cs="Times New Roman"/>
          <w:b/>
          <w:sz w:val="24"/>
          <w:szCs w:val="24"/>
        </w:rPr>
      </w:pPr>
    </w:p>
    <w:p w14:paraId="11B3DBBB" w14:textId="77777777" w:rsidR="009E3AC7" w:rsidRPr="00ED6025" w:rsidRDefault="009E3AC7" w:rsidP="00F0090E">
      <w:pPr>
        <w:pBdr>
          <w:top w:val="triple" w:sz="4" w:space="1" w:color="auto"/>
          <w:left w:val="triple" w:sz="4" w:space="4" w:color="auto"/>
          <w:bottom w:val="triple" w:sz="4" w:space="12" w:color="auto"/>
          <w:right w:val="triple" w:sz="4" w:space="4" w:color="auto"/>
        </w:pBdr>
        <w:spacing w:line="192" w:lineRule="auto"/>
        <w:jc w:val="center"/>
        <w:rPr>
          <w:rFonts w:ascii="Times New Roman" w:hAnsi="Times New Roman" w:cs="Times New Roman"/>
          <w:b/>
          <w:sz w:val="24"/>
          <w:szCs w:val="24"/>
        </w:rPr>
      </w:pPr>
    </w:p>
    <w:p w14:paraId="3C015CA4" w14:textId="77777777" w:rsidR="00165F4F" w:rsidRPr="00ED6025" w:rsidRDefault="00165F4F" w:rsidP="009E3AC7">
      <w:pPr>
        <w:pBdr>
          <w:top w:val="single" w:sz="4" w:space="1" w:color="auto"/>
          <w:bottom w:val="single" w:sz="4" w:space="1" w:color="auto"/>
        </w:pBdr>
        <w:shd w:val="clear" w:color="auto" w:fill="F2F2F2" w:themeFill="background1" w:themeFillShade="F2"/>
        <w:jc w:val="center"/>
        <w:rPr>
          <w:rFonts w:ascii="Times New Roman" w:hAnsi="Times New Roman" w:cs="Times New Roman"/>
          <w:b/>
          <w:sz w:val="24"/>
          <w:szCs w:val="24"/>
        </w:rPr>
      </w:pPr>
      <w:r w:rsidRPr="00ED6025">
        <w:rPr>
          <w:rFonts w:ascii="Times New Roman" w:hAnsi="Times New Roman" w:cs="Times New Roman"/>
          <w:b/>
          <w:sz w:val="24"/>
          <w:szCs w:val="24"/>
        </w:rPr>
        <w:t>Policy and Procedure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34"/>
        <w:gridCol w:w="4596"/>
      </w:tblGrid>
      <w:tr w:rsidR="00165F4F" w:rsidRPr="00ED6025" w14:paraId="17CD4467" w14:textId="77777777" w:rsidTr="000D575F">
        <w:tc>
          <w:tcPr>
            <w:tcW w:w="5395" w:type="dxa"/>
          </w:tcPr>
          <w:p w14:paraId="1B4BD2E7" w14:textId="7220036F" w:rsidR="00165F4F" w:rsidRPr="00E508C6" w:rsidRDefault="00165F4F" w:rsidP="00D10D56">
            <w:pPr>
              <w:tabs>
                <w:tab w:val="left" w:pos="1335"/>
              </w:tabs>
              <w:rPr>
                <w:rFonts w:ascii="Times New Roman" w:hAnsi="Times New Roman" w:cs="Times New Roman"/>
                <w:i/>
                <w:sz w:val="24"/>
                <w:szCs w:val="24"/>
              </w:rPr>
            </w:pPr>
            <w:r w:rsidRPr="00ED6025">
              <w:rPr>
                <w:rFonts w:ascii="Times New Roman" w:hAnsi="Times New Roman" w:cs="Times New Roman"/>
                <w:b/>
                <w:sz w:val="24"/>
                <w:szCs w:val="24"/>
              </w:rPr>
              <w:t>SUBJECT:</w:t>
            </w:r>
            <w:r w:rsidRPr="00ED6025">
              <w:rPr>
                <w:rFonts w:ascii="Times New Roman" w:hAnsi="Times New Roman" w:cs="Times New Roman"/>
                <w:sz w:val="24"/>
                <w:szCs w:val="24"/>
              </w:rPr>
              <w:t xml:space="preserve"> </w:t>
            </w:r>
          </w:p>
        </w:tc>
        <w:tc>
          <w:tcPr>
            <w:tcW w:w="5395" w:type="dxa"/>
          </w:tcPr>
          <w:p w14:paraId="46E69ACB" w14:textId="5130AAEA" w:rsidR="00165F4F" w:rsidRPr="00ED6025" w:rsidRDefault="00165F4F" w:rsidP="00165F4F">
            <w:pPr>
              <w:tabs>
                <w:tab w:val="left" w:pos="1335"/>
              </w:tabs>
              <w:rPr>
                <w:rFonts w:ascii="Times New Roman" w:hAnsi="Times New Roman" w:cs="Times New Roman"/>
                <w:sz w:val="24"/>
                <w:szCs w:val="24"/>
              </w:rPr>
            </w:pPr>
            <w:r w:rsidRPr="00ED6025">
              <w:rPr>
                <w:rFonts w:ascii="Times New Roman" w:hAnsi="Times New Roman" w:cs="Times New Roman"/>
                <w:b/>
                <w:sz w:val="24"/>
                <w:szCs w:val="24"/>
              </w:rPr>
              <w:t>PAGES:</w:t>
            </w:r>
            <w:r w:rsidRPr="00ED6025">
              <w:rPr>
                <w:rFonts w:ascii="Times New Roman" w:hAnsi="Times New Roman" w:cs="Times New Roman"/>
                <w:sz w:val="24"/>
                <w:szCs w:val="24"/>
              </w:rPr>
              <w:t xml:space="preserve"> </w:t>
            </w:r>
          </w:p>
        </w:tc>
      </w:tr>
      <w:tr w:rsidR="00165F4F" w:rsidRPr="00ED6025" w14:paraId="556D43DF" w14:textId="77777777" w:rsidTr="000D575F">
        <w:tc>
          <w:tcPr>
            <w:tcW w:w="5395" w:type="dxa"/>
          </w:tcPr>
          <w:p w14:paraId="6A3378BA" w14:textId="77777777" w:rsidR="00165F4F" w:rsidRDefault="00165F4F" w:rsidP="003A01F1">
            <w:pPr>
              <w:tabs>
                <w:tab w:val="left" w:pos="1335"/>
              </w:tabs>
              <w:rPr>
                <w:rFonts w:ascii="Times New Roman" w:hAnsi="Times New Roman" w:cs="Times New Roman"/>
                <w:b/>
                <w:sz w:val="24"/>
                <w:szCs w:val="24"/>
              </w:rPr>
            </w:pPr>
            <w:r w:rsidRPr="00ED6025">
              <w:rPr>
                <w:rFonts w:ascii="Times New Roman" w:hAnsi="Times New Roman" w:cs="Times New Roman"/>
                <w:b/>
                <w:sz w:val="24"/>
                <w:szCs w:val="24"/>
              </w:rPr>
              <w:t>RESPONSIBILITY:</w:t>
            </w:r>
            <w:r w:rsidR="001206D2" w:rsidRPr="00ED6025">
              <w:rPr>
                <w:rFonts w:ascii="Times New Roman" w:hAnsi="Times New Roman" w:cs="Times New Roman"/>
                <w:b/>
                <w:sz w:val="24"/>
                <w:szCs w:val="24"/>
              </w:rPr>
              <w:t xml:space="preserve"> </w:t>
            </w:r>
          </w:p>
          <w:p w14:paraId="17F1AAF4" w14:textId="3AA1F425" w:rsidR="003F0C52" w:rsidRPr="00D16187" w:rsidRDefault="003F0C52" w:rsidP="003A01F1">
            <w:pPr>
              <w:tabs>
                <w:tab w:val="left" w:pos="1335"/>
              </w:tabs>
              <w:rPr>
                <w:rFonts w:ascii="Times New Roman" w:hAnsi="Times New Roman" w:cs="Times New Roman"/>
                <w:sz w:val="24"/>
                <w:szCs w:val="24"/>
              </w:rPr>
            </w:pPr>
          </w:p>
        </w:tc>
        <w:tc>
          <w:tcPr>
            <w:tcW w:w="5395" w:type="dxa"/>
          </w:tcPr>
          <w:p w14:paraId="44BBAF2E" w14:textId="5319BAEF" w:rsidR="003F0C52" w:rsidRPr="00E508C6" w:rsidRDefault="00FC6354" w:rsidP="003F0C52">
            <w:pPr>
              <w:tabs>
                <w:tab w:val="left" w:pos="1335"/>
              </w:tabs>
              <w:rPr>
                <w:rFonts w:ascii="Times New Roman" w:hAnsi="Times New Roman" w:cs="Times New Roman"/>
                <w:i/>
                <w:sz w:val="24"/>
                <w:szCs w:val="24"/>
              </w:rPr>
            </w:pPr>
            <w:r w:rsidRPr="00ED6025">
              <w:rPr>
                <w:rFonts w:ascii="Times New Roman" w:hAnsi="Times New Roman" w:cs="Times New Roman"/>
                <w:b/>
                <w:sz w:val="24"/>
                <w:szCs w:val="24"/>
              </w:rPr>
              <w:t>EFFECTIVE</w:t>
            </w:r>
            <w:r w:rsidR="0054356F" w:rsidRPr="00ED6025">
              <w:rPr>
                <w:rFonts w:ascii="Times New Roman" w:hAnsi="Times New Roman" w:cs="Times New Roman"/>
                <w:sz w:val="24"/>
                <w:szCs w:val="24"/>
              </w:rPr>
              <w:t>:</w:t>
            </w:r>
            <w:r w:rsidR="003F0C52">
              <w:rPr>
                <w:rFonts w:ascii="Times New Roman" w:hAnsi="Times New Roman" w:cs="Times New Roman"/>
                <w:sz w:val="24"/>
                <w:szCs w:val="24"/>
              </w:rPr>
              <w:t xml:space="preserve"> </w:t>
            </w:r>
          </w:p>
          <w:p w14:paraId="794D91AA" w14:textId="77777777" w:rsidR="003F0C52" w:rsidRDefault="003F0C52" w:rsidP="003F0C52">
            <w:pPr>
              <w:tabs>
                <w:tab w:val="left" w:pos="1335"/>
              </w:tabs>
              <w:rPr>
                <w:rFonts w:ascii="Times New Roman" w:hAnsi="Times New Roman" w:cs="Times New Roman"/>
                <w:sz w:val="24"/>
                <w:szCs w:val="24"/>
              </w:rPr>
            </w:pPr>
          </w:p>
          <w:p w14:paraId="5B6BE641" w14:textId="1D253A31" w:rsidR="00FC6354" w:rsidRPr="00D16187" w:rsidRDefault="00FC6354" w:rsidP="003F0C52">
            <w:pPr>
              <w:tabs>
                <w:tab w:val="left" w:pos="1335"/>
              </w:tabs>
              <w:rPr>
                <w:rFonts w:ascii="Times New Roman" w:hAnsi="Times New Roman" w:cs="Times New Roman"/>
                <w:sz w:val="24"/>
                <w:szCs w:val="24"/>
              </w:rPr>
            </w:pPr>
            <w:r w:rsidRPr="00ED6025">
              <w:rPr>
                <w:rFonts w:ascii="Times New Roman" w:hAnsi="Times New Roman" w:cs="Times New Roman"/>
                <w:b/>
                <w:sz w:val="24"/>
                <w:szCs w:val="24"/>
              </w:rPr>
              <w:t xml:space="preserve">REVISED:  </w:t>
            </w:r>
          </w:p>
        </w:tc>
      </w:tr>
      <w:tr w:rsidR="00165F4F" w:rsidRPr="00ED6025" w14:paraId="6E7A8817" w14:textId="77777777" w:rsidTr="000D575F">
        <w:tc>
          <w:tcPr>
            <w:tcW w:w="5395" w:type="dxa"/>
          </w:tcPr>
          <w:p w14:paraId="561CA809" w14:textId="792D5FC6" w:rsidR="00770595" w:rsidRPr="003B47E3" w:rsidRDefault="00C62DD6" w:rsidP="003A01F1">
            <w:pPr>
              <w:tabs>
                <w:tab w:val="left" w:pos="1335"/>
              </w:tabs>
              <w:rPr>
                <w:rFonts w:ascii="Times New Roman" w:hAnsi="Times New Roman" w:cs="Times New Roman"/>
                <w:b/>
                <w:sz w:val="24"/>
                <w:szCs w:val="24"/>
              </w:rPr>
            </w:pPr>
            <w:r w:rsidRPr="00ED6025">
              <w:rPr>
                <w:rFonts w:ascii="Times New Roman" w:hAnsi="Times New Roman" w:cs="Times New Roman"/>
                <w:b/>
                <w:sz w:val="24"/>
                <w:szCs w:val="24"/>
              </w:rPr>
              <w:t>REVIEWED BY:</w:t>
            </w:r>
          </w:p>
          <w:p w14:paraId="7D4C4131" w14:textId="77777777" w:rsidR="00443516" w:rsidRDefault="00443516" w:rsidP="003A01F1">
            <w:pPr>
              <w:tabs>
                <w:tab w:val="left" w:pos="1335"/>
              </w:tabs>
              <w:rPr>
                <w:rFonts w:ascii="Times New Roman" w:hAnsi="Times New Roman" w:cs="Times New Roman"/>
                <w:sz w:val="24"/>
                <w:szCs w:val="24"/>
              </w:rPr>
            </w:pPr>
          </w:p>
          <w:p w14:paraId="7341628F" w14:textId="77777777" w:rsidR="003F0C52" w:rsidRDefault="003F0C52" w:rsidP="003A01F1">
            <w:pPr>
              <w:tabs>
                <w:tab w:val="left" w:pos="1335"/>
              </w:tabs>
              <w:rPr>
                <w:rFonts w:ascii="Times New Roman" w:hAnsi="Times New Roman" w:cs="Times New Roman"/>
                <w:sz w:val="24"/>
                <w:szCs w:val="24"/>
              </w:rPr>
            </w:pPr>
          </w:p>
          <w:p w14:paraId="525BCE6D" w14:textId="77777777" w:rsidR="00D16187" w:rsidRDefault="00D16187" w:rsidP="003A01F1">
            <w:pPr>
              <w:tabs>
                <w:tab w:val="left" w:pos="1335"/>
              </w:tabs>
              <w:rPr>
                <w:rFonts w:ascii="Times New Roman" w:hAnsi="Times New Roman" w:cs="Times New Roman"/>
                <w:sz w:val="24"/>
                <w:szCs w:val="24"/>
              </w:rPr>
            </w:pPr>
          </w:p>
          <w:p w14:paraId="270B1B18" w14:textId="77777777" w:rsidR="00D16187" w:rsidRDefault="00D16187" w:rsidP="003A01F1">
            <w:pPr>
              <w:tabs>
                <w:tab w:val="left" w:pos="1335"/>
              </w:tabs>
              <w:rPr>
                <w:rFonts w:ascii="Times New Roman" w:hAnsi="Times New Roman" w:cs="Times New Roman"/>
                <w:sz w:val="24"/>
                <w:szCs w:val="24"/>
              </w:rPr>
            </w:pPr>
          </w:p>
          <w:p w14:paraId="52C72C4E" w14:textId="77777777" w:rsidR="00D16187" w:rsidRDefault="00D16187" w:rsidP="003A01F1">
            <w:pPr>
              <w:tabs>
                <w:tab w:val="left" w:pos="1335"/>
              </w:tabs>
              <w:rPr>
                <w:rFonts w:ascii="Times New Roman" w:hAnsi="Times New Roman" w:cs="Times New Roman"/>
                <w:sz w:val="24"/>
                <w:szCs w:val="24"/>
              </w:rPr>
            </w:pPr>
          </w:p>
          <w:p w14:paraId="28735CDD" w14:textId="77777777" w:rsidR="00E0333E" w:rsidRDefault="00E0333E" w:rsidP="00443516">
            <w:pPr>
              <w:tabs>
                <w:tab w:val="left" w:pos="1335"/>
              </w:tabs>
              <w:rPr>
                <w:rFonts w:ascii="Times New Roman" w:hAnsi="Times New Roman" w:cs="Times New Roman"/>
                <w:sz w:val="24"/>
                <w:szCs w:val="24"/>
              </w:rPr>
            </w:pPr>
          </w:p>
          <w:p w14:paraId="01EFBEAA" w14:textId="77777777" w:rsidR="004622FB" w:rsidRDefault="00444209" w:rsidP="00443516">
            <w:pPr>
              <w:tabs>
                <w:tab w:val="left" w:pos="1335"/>
              </w:tabs>
              <w:rPr>
                <w:rFonts w:ascii="Times New Roman" w:hAnsi="Times New Roman" w:cs="Times New Roman"/>
                <w:sz w:val="24"/>
                <w:szCs w:val="24"/>
              </w:rPr>
            </w:pPr>
            <w:r>
              <w:rPr>
                <w:rFonts w:ascii="Times New Roman" w:hAnsi="Times New Roman" w:cs="Times New Roman"/>
                <w:sz w:val="24"/>
                <w:szCs w:val="24"/>
              </w:rPr>
              <w:t>Charity Care Policy</w:t>
            </w:r>
            <w:r w:rsidR="004622FB">
              <w:rPr>
                <w:rFonts w:ascii="Times New Roman" w:hAnsi="Times New Roman" w:cs="Times New Roman"/>
                <w:sz w:val="24"/>
                <w:szCs w:val="24"/>
              </w:rPr>
              <w:t xml:space="preserve"> </w:t>
            </w:r>
          </w:p>
          <w:p w14:paraId="55EEED69" w14:textId="3F32262F" w:rsidR="00E0333E" w:rsidRPr="00ED6025" w:rsidRDefault="004622FB" w:rsidP="00443516">
            <w:pPr>
              <w:tabs>
                <w:tab w:val="left" w:pos="1335"/>
              </w:tabs>
              <w:rPr>
                <w:rFonts w:ascii="Times New Roman" w:hAnsi="Times New Roman" w:cs="Times New Roman"/>
                <w:sz w:val="24"/>
                <w:szCs w:val="24"/>
              </w:rPr>
            </w:pPr>
            <w:r>
              <w:rPr>
                <w:rFonts w:ascii="Times New Roman" w:hAnsi="Times New Roman" w:cs="Times New Roman"/>
                <w:sz w:val="24"/>
                <w:szCs w:val="24"/>
              </w:rPr>
              <w:t>Health and Safety Code, Title 2. Health Subtitle A. Department of State Health Services.  Chapter 13. Department Hospitals and Respiratory Facilities Subchapter A. Care and Treatment in Department Hospitals.</w:t>
            </w:r>
          </w:p>
        </w:tc>
        <w:tc>
          <w:tcPr>
            <w:tcW w:w="5395" w:type="dxa"/>
          </w:tcPr>
          <w:p w14:paraId="29BE0FEE" w14:textId="7928F87E" w:rsidR="00EF7549" w:rsidRPr="003B47E3" w:rsidRDefault="00C62DD6" w:rsidP="00165F4F">
            <w:pPr>
              <w:tabs>
                <w:tab w:val="left" w:pos="1335"/>
              </w:tabs>
              <w:rPr>
                <w:rFonts w:ascii="Times New Roman" w:hAnsi="Times New Roman" w:cs="Times New Roman"/>
                <w:b/>
                <w:sz w:val="24"/>
                <w:szCs w:val="24"/>
              </w:rPr>
            </w:pPr>
            <w:r w:rsidRPr="00ED6025">
              <w:rPr>
                <w:rFonts w:ascii="Times New Roman" w:hAnsi="Times New Roman" w:cs="Times New Roman"/>
                <w:b/>
                <w:sz w:val="24"/>
                <w:szCs w:val="24"/>
              </w:rPr>
              <w:t>APPROVED:</w:t>
            </w:r>
            <w:r w:rsidR="00444209">
              <w:rPr>
                <w:rFonts w:ascii="Times New Roman" w:hAnsi="Times New Roman" w:cs="Times New Roman"/>
                <w:b/>
                <w:sz w:val="24"/>
                <w:szCs w:val="24"/>
              </w:rPr>
              <w:t xml:space="preserve"> David Gruber, Associate Commissioner for RLHO</w:t>
            </w:r>
          </w:p>
          <w:p w14:paraId="155C551F" w14:textId="77777777" w:rsidR="00443516" w:rsidRDefault="00443516" w:rsidP="00443516">
            <w:pPr>
              <w:tabs>
                <w:tab w:val="left" w:pos="1335"/>
              </w:tabs>
              <w:rPr>
                <w:rFonts w:ascii="Times New Roman" w:hAnsi="Times New Roman" w:cs="Times New Roman"/>
                <w:sz w:val="24"/>
                <w:szCs w:val="24"/>
              </w:rPr>
            </w:pPr>
          </w:p>
          <w:p w14:paraId="123A3E3C" w14:textId="77777777" w:rsidR="00443516" w:rsidRDefault="00443516" w:rsidP="00443516">
            <w:pPr>
              <w:tabs>
                <w:tab w:val="left" w:pos="1335"/>
              </w:tabs>
              <w:rPr>
                <w:rFonts w:ascii="Times New Roman" w:hAnsi="Times New Roman" w:cs="Times New Roman"/>
                <w:sz w:val="24"/>
                <w:szCs w:val="24"/>
              </w:rPr>
            </w:pPr>
          </w:p>
          <w:p w14:paraId="5F725192" w14:textId="77777777" w:rsidR="00443516" w:rsidRDefault="00443516" w:rsidP="00443516">
            <w:pPr>
              <w:tabs>
                <w:tab w:val="left" w:pos="1335"/>
              </w:tabs>
              <w:rPr>
                <w:rFonts w:ascii="Times New Roman" w:hAnsi="Times New Roman" w:cs="Times New Roman"/>
                <w:sz w:val="24"/>
                <w:szCs w:val="24"/>
              </w:rPr>
            </w:pPr>
          </w:p>
          <w:p w14:paraId="3FB03CB5" w14:textId="77777777" w:rsidR="00443516" w:rsidRDefault="00443516" w:rsidP="00443516">
            <w:pPr>
              <w:tabs>
                <w:tab w:val="left" w:pos="1335"/>
              </w:tabs>
              <w:rPr>
                <w:rFonts w:ascii="Times New Roman" w:hAnsi="Times New Roman" w:cs="Times New Roman"/>
                <w:sz w:val="24"/>
                <w:szCs w:val="24"/>
              </w:rPr>
            </w:pPr>
          </w:p>
          <w:p w14:paraId="6715D075" w14:textId="77777777" w:rsidR="00443516" w:rsidRDefault="00443516" w:rsidP="00443516">
            <w:pPr>
              <w:tabs>
                <w:tab w:val="left" w:pos="1335"/>
              </w:tabs>
              <w:rPr>
                <w:rFonts w:ascii="Times New Roman" w:hAnsi="Times New Roman" w:cs="Times New Roman"/>
                <w:sz w:val="24"/>
                <w:szCs w:val="24"/>
              </w:rPr>
            </w:pPr>
          </w:p>
          <w:p w14:paraId="367A44F9" w14:textId="77777777" w:rsidR="00443516" w:rsidRDefault="00443516" w:rsidP="00443516">
            <w:pPr>
              <w:tabs>
                <w:tab w:val="left" w:pos="1335"/>
              </w:tabs>
              <w:rPr>
                <w:rFonts w:ascii="Times New Roman" w:hAnsi="Times New Roman" w:cs="Times New Roman"/>
                <w:sz w:val="24"/>
                <w:szCs w:val="24"/>
              </w:rPr>
            </w:pPr>
          </w:p>
          <w:p w14:paraId="0BB4C44D" w14:textId="77777777" w:rsidR="00443516" w:rsidRDefault="00443516" w:rsidP="00443516">
            <w:pPr>
              <w:tabs>
                <w:tab w:val="left" w:pos="1335"/>
              </w:tabs>
              <w:rPr>
                <w:rFonts w:ascii="Times New Roman" w:hAnsi="Times New Roman" w:cs="Times New Roman"/>
                <w:sz w:val="24"/>
                <w:szCs w:val="24"/>
              </w:rPr>
            </w:pPr>
          </w:p>
          <w:p w14:paraId="30DB6829" w14:textId="77777777" w:rsidR="00443516" w:rsidRDefault="00443516" w:rsidP="00443516">
            <w:pPr>
              <w:tabs>
                <w:tab w:val="left" w:pos="1335"/>
              </w:tabs>
              <w:rPr>
                <w:rFonts w:ascii="Times New Roman" w:hAnsi="Times New Roman" w:cs="Times New Roman"/>
                <w:sz w:val="24"/>
                <w:szCs w:val="24"/>
              </w:rPr>
            </w:pPr>
          </w:p>
          <w:p w14:paraId="6C37AA7C" w14:textId="77777777" w:rsidR="00443516" w:rsidRDefault="00443516" w:rsidP="00443516">
            <w:pPr>
              <w:tabs>
                <w:tab w:val="left" w:pos="1335"/>
              </w:tabs>
              <w:rPr>
                <w:rFonts w:ascii="Times New Roman" w:hAnsi="Times New Roman" w:cs="Times New Roman"/>
                <w:sz w:val="24"/>
                <w:szCs w:val="24"/>
              </w:rPr>
            </w:pPr>
          </w:p>
          <w:p w14:paraId="6E6F869A" w14:textId="77777777" w:rsidR="00443516" w:rsidRDefault="00443516" w:rsidP="00165F4F">
            <w:pPr>
              <w:tabs>
                <w:tab w:val="left" w:pos="1335"/>
              </w:tabs>
              <w:rPr>
                <w:rFonts w:ascii="Times New Roman" w:hAnsi="Times New Roman" w:cs="Times New Roman"/>
                <w:sz w:val="24"/>
                <w:szCs w:val="24"/>
              </w:rPr>
            </w:pPr>
          </w:p>
          <w:p w14:paraId="05AF3400" w14:textId="77777777" w:rsidR="00443516" w:rsidRDefault="00443516" w:rsidP="00165F4F">
            <w:pPr>
              <w:tabs>
                <w:tab w:val="left" w:pos="1335"/>
              </w:tabs>
              <w:rPr>
                <w:rFonts w:ascii="Times New Roman" w:hAnsi="Times New Roman" w:cs="Times New Roman"/>
                <w:sz w:val="24"/>
                <w:szCs w:val="24"/>
              </w:rPr>
            </w:pPr>
          </w:p>
          <w:p w14:paraId="405A97B3" w14:textId="77777777" w:rsidR="00EF7549" w:rsidRPr="00ED6025" w:rsidRDefault="00EF7549" w:rsidP="003A01F1">
            <w:pPr>
              <w:tabs>
                <w:tab w:val="left" w:pos="1335"/>
              </w:tabs>
              <w:rPr>
                <w:rFonts w:ascii="Times New Roman" w:hAnsi="Times New Roman" w:cs="Times New Roman"/>
                <w:sz w:val="24"/>
                <w:szCs w:val="24"/>
              </w:rPr>
            </w:pPr>
            <w:r w:rsidRPr="00ED6025">
              <w:rPr>
                <w:rFonts w:ascii="Times New Roman" w:hAnsi="Times New Roman" w:cs="Times New Roman"/>
                <w:sz w:val="24"/>
                <w:szCs w:val="24"/>
              </w:rPr>
              <w:t xml:space="preserve">Hospital </w:t>
            </w:r>
            <w:r w:rsidR="003A01F1" w:rsidRPr="00ED6025">
              <w:rPr>
                <w:rFonts w:ascii="Times New Roman" w:hAnsi="Times New Roman" w:cs="Times New Roman"/>
                <w:sz w:val="24"/>
                <w:szCs w:val="24"/>
              </w:rPr>
              <w:t>Administrator</w:t>
            </w:r>
            <w:r w:rsidR="00C343D4" w:rsidRPr="00ED6025">
              <w:rPr>
                <w:rFonts w:ascii="Times New Roman" w:hAnsi="Times New Roman" w:cs="Times New Roman"/>
                <w:sz w:val="24"/>
                <w:szCs w:val="24"/>
              </w:rPr>
              <w:t xml:space="preserve"> / Superintendent</w:t>
            </w:r>
          </w:p>
        </w:tc>
      </w:tr>
    </w:tbl>
    <w:p w14:paraId="0860A0BE" w14:textId="16DE03C9" w:rsidR="000C09FB" w:rsidRDefault="000C09FB">
      <w:pPr>
        <w:rPr>
          <w:rFonts w:ascii="Times New Roman" w:hAnsi="Times New Roman" w:cs="Times New Roman"/>
          <w:sz w:val="24"/>
          <w:szCs w:val="24"/>
        </w:rPr>
      </w:pPr>
    </w:p>
    <w:p w14:paraId="6EE22ADE" w14:textId="7593685A" w:rsidR="00EA0EA9" w:rsidRDefault="00EA0EA9">
      <w:pPr>
        <w:rPr>
          <w:rFonts w:ascii="Times New Roman" w:hAnsi="Times New Roman" w:cs="Times New Roman"/>
          <w:sz w:val="24"/>
          <w:szCs w:val="24"/>
        </w:rPr>
      </w:pPr>
      <w:r>
        <w:rPr>
          <w:rFonts w:ascii="Times New Roman" w:hAnsi="Times New Roman" w:cs="Times New Roman"/>
          <w:sz w:val="24"/>
          <w:szCs w:val="24"/>
        </w:rPr>
        <w:br w:type="page"/>
      </w:r>
    </w:p>
    <w:p w14:paraId="33173F81" w14:textId="77777777" w:rsidR="00EA0EA9" w:rsidRPr="00ED6025" w:rsidRDefault="00EA0EA9">
      <w:pPr>
        <w:rPr>
          <w:rFonts w:ascii="Times New Roman" w:hAnsi="Times New Roman" w:cs="Times New Roman"/>
          <w:sz w:val="24"/>
          <w:szCs w:val="24"/>
        </w:rPr>
      </w:pPr>
    </w:p>
    <w:p w14:paraId="4DCA9866" w14:textId="1C0E4F89" w:rsidR="008F311B" w:rsidRPr="00BD5371" w:rsidRDefault="003F0C52" w:rsidP="00BD5371">
      <w:pPr>
        <w:pStyle w:val="ListParagraph"/>
        <w:numPr>
          <w:ilvl w:val="0"/>
          <w:numId w:val="3"/>
        </w:numPr>
        <w:tabs>
          <w:tab w:val="left" w:pos="1335"/>
        </w:tabs>
        <w:spacing w:line="240" w:lineRule="auto"/>
        <w:ind w:left="360"/>
        <w:jc w:val="both"/>
        <w:rPr>
          <w:rFonts w:ascii="Arial" w:hAnsi="Arial" w:cs="Arial"/>
          <w:b/>
          <w:sz w:val="24"/>
          <w:szCs w:val="24"/>
        </w:rPr>
      </w:pPr>
      <w:r w:rsidRPr="00BD5371">
        <w:rPr>
          <w:rFonts w:ascii="Arial" w:hAnsi="Arial" w:cs="Arial"/>
          <w:b/>
          <w:sz w:val="24"/>
          <w:szCs w:val="24"/>
        </w:rPr>
        <w:t>POLICY</w:t>
      </w:r>
      <w:r w:rsidR="00444209" w:rsidRPr="00BD5371">
        <w:rPr>
          <w:rFonts w:ascii="Arial" w:hAnsi="Arial" w:cs="Arial"/>
          <w:b/>
          <w:sz w:val="24"/>
          <w:szCs w:val="24"/>
        </w:rPr>
        <w:t xml:space="preserve">: </w:t>
      </w:r>
      <w:r w:rsidR="003E5350">
        <w:rPr>
          <w:rFonts w:ascii="Arial" w:hAnsi="Arial" w:cs="Arial"/>
          <w:b/>
          <w:sz w:val="24"/>
          <w:szCs w:val="24"/>
        </w:rPr>
        <w:t xml:space="preserve"> </w:t>
      </w:r>
      <w:r w:rsidR="003E5350">
        <w:rPr>
          <w:rFonts w:ascii="Arial" w:hAnsi="Arial" w:cs="Arial"/>
          <w:bCs/>
          <w:sz w:val="24"/>
          <w:szCs w:val="24"/>
        </w:rPr>
        <w:t xml:space="preserve">The Texas Center for Infectious Disease (TCID) under the Department of State Health Services (DSHS), </w:t>
      </w:r>
      <w:r w:rsidR="00444209" w:rsidRPr="00BD5371">
        <w:rPr>
          <w:rFonts w:ascii="Arial" w:hAnsi="Arial" w:cs="Arial"/>
          <w:bCs/>
          <w:sz w:val="24"/>
          <w:szCs w:val="24"/>
        </w:rPr>
        <w:t>Regional Local Health Organization</w:t>
      </w:r>
      <w:r w:rsidR="003E5350">
        <w:rPr>
          <w:rFonts w:ascii="Arial" w:hAnsi="Arial" w:cs="Arial"/>
          <w:bCs/>
          <w:sz w:val="24"/>
          <w:szCs w:val="24"/>
        </w:rPr>
        <w:t xml:space="preserve"> </w:t>
      </w:r>
      <w:r w:rsidR="00444209" w:rsidRPr="00BD5371">
        <w:rPr>
          <w:rFonts w:ascii="Arial" w:hAnsi="Arial" w:cs="Arial"/>
          <w:bCs/>
          <w:sz w:val="24"/>
          <w:szCs w:val="24"/>
        </w:rPr>
        <w:t>(RLHO)</w:t>
      </w:r>
      <w:r w:rsidR="003E5350">
        <w:rPr>
          <w:rFonts w:ascii="Arial" w:hAnsi="Arial" w:cs="Arial"/>
          <w:bCs/>
          <w:sz w:val="24"/>
          <w:szCs w:val="24"/>
        </w:rPr>
        <w:t xml:space="preserve"> </w:t>
      </w:r>
      <w:r w:rsidR="00444209" w:rsidRPr="00BD5371">
        <w:rPr>
          <w:rFonts w:ascii="Arial" w:hAnsi="Arial" w:cs="Arial"/>
          <w:bCs/>
          <w:sz w:val="24"/>
          <w:szCs w:val="24"/>
        </w:rPr>
        <w:t xml:space="preserve">is committed to the provision of inpatient Tuberculosis services to all persons in need of medically necessary care regardless of ability to pay.  The purpose of this policy is to ensure a fair, non-discriminatory, effective, and uniform method for the </w:t>
      </w:r>
      <w:r w:rsidR="003E121E" w:rsidRPr="00BD5371">
        <w:rPr>
          <w:rFonts w:ascii="Arial" w:hAnsi="Arial" w:cs="Arial"/>
          <w:bCs/>
          <w:sz w:val="24"/>
          <w:szCs w:val="24"/>
        </w:rPr>
        <w:t>provision</w:t>
      </w:r>
      <w:r w:rsidR="00444209" w:rsidRPr="00BD5371">
        <w:rPr>
          <w:rFonts w:ascii="Arial" w:hAnsi="Arial" w:cs="Arial"/>
          <w:bCs/>
          <w:sz w:val="24"/>
          <w:szCs w:val="24"/>
        </w:rPr>
        <w:t xml:space="preserve"> of Financial </w:t>
      </w:r>
      <w:r w:rsidR="003E121E" w:rsidRPr="00BD5371">
        <w:rPr>
          <w:rFonts w:ascii="Arial" w:hAnsi="Arial" w:cs="Arial"/>
          <w:bCs/>
          <w:sz w:val="24"/>
          <w:szCs w:val="24"/>
        </w:rPr>
        <w:t>Assistance</w:t>
      </w:r>
      <w:r w:rsidR="00444209" w:rsidRPr="00BD5371">
        <w:rPr>
          <w:rFonts w:ascii="Arial" w:hAnsi="Arial" w:cs="Arial"/>
          <w:bCs/>
          <w:sz w:val="24"/>
          <w:szCs w:val="24"/>
        </w:rPr>
        <w:t xml:space="preserve"> (charity care) to eligible individuals, admitted voluntarily or under civil commitments, who are unable to pay in full or part for medically necessary inpatient </w:t>
      </w:r>
      <w:r w:rsidR="003E121E" w:rsidRPr="00BD5371">
        <w:rPr>
          <w:rFonts w:ascii="Arial" w:hAnsi="Arial" w:cs="Arial"/>
          <w:bCs/>
          <w:sz w:val="24"/>
          <w:szCs w:val="24"/>
        </w:rPr>
        <w:t>Tuberculosis</w:t>
      </w:r>
      <w:r w:rsidR="00444209" w:rsidRPr="00BD5371">
        <w:rPr>
          <w:rFonts w:ascii="Arial" w:hAnsi="Arial" w:cs="Arial"/>
          <w:bCs/>
          <w:sz w:val="24"/>
          <w:szCs w:val="24"/>
        </w:rPr>
        <w:t xml:space="preserve"> care and other hospital </w:t>
      </w:r>
      <w:r w:rsidR="003E121E" w:rsidRPr="00BD5371">
        <w:rPr>
          <w:rFonts w:ascii="Arial" w:hAnsi="Arial" w:cs="Arial"/>
          <w:bCs/>
          <w:sz w:val="24"/>
          <w:szCs w:val="24"/>
        </w:rPr>
        <w:t>services</w:t>
      </w:r>
      <w:r w:rsidR="00444209" w:rsidRPr="00BD5371">
        <w:rPr>
          <w:rFonts w:ascii="Arial" w:hAnsi="Arial" w:cs="Arial"/>
          <w:bCs/>
          <w:sz w:val="24"/>
          <w:szCs w:val="24"/>
        </w:rPr>
        <w:t xml:space="preserve"> provided by the </w:t>
      </w:r>
      <w:r w:rsidR="003E121E" w:rsidRPr="00BD5371">
        <w:rPr>
          <w:rFonts w:ascii="Arial" w:hAnsi="Arial" w:cs="Arial"/>
          <w:bCs/>
          <w:sz w:val="24"/>
          <w:szCs w:val="24"/>
        </w:rPr>
        <w:t>DSHS RLHO.</w:t>
      </w:r>
    </w:p>
    <w:p w14:paraId="1C579105" w14:textId="77777777" w:rsidR="001C54AB" w:rsidRPr="00BD5371" w:rsidRDefault="001C54AB" w:rsidP="00BD5371">
      <w:pPr>
        <w:pStyle w:val="ListParagraph"/>
        <w:tabs>
          <w:tab w:val="left" w:pos="1335"/>
        </w:tabs>
        <w:spacing w:line="240" w:lineRule="auto"/>
        <w:ind w:left="1440"/>
        <w:jc w:val="both"/>
        <w:rPr>
          <w:rFonts w:ascii="Arial" w:hAnsi="Arial" w:cs="Arial"/>
          <w:sz w:val="24"/>
          <w:szCs w:val="24"/>
        </w:rPr>
      </w:pPr>
    </w:p>
    <w:p w14:paraId="24B1C30B" w14:textId="24C890A4" w:rsidR="00EA0EA9" w:rsidRPr="00BD5371" w:rsidRDefault="00EA0EA9" w:rsidP="00BD5371">
      <w:pPr>
        <w:pStyle w:val="ListParagraph"/>
        <w:numPr>
          <w:ilvl w:val="0"/>
          <w:numId w:val="3"/>
        </w:numPr>
        <w:tabs>
          <w:tab w:val="left" w:pos="1335"/>
        </w:tabs>
        <w:spacing w:line="240" w:lineRule="auto"/>
        <w:ind w:left="360"/>
        <w:jc w:val="both"/>
        <w:rPr>
          <w:rFonts w:ascii="Arial" w:hAnsi="Arial" w:cs="Arial"/>
          <w:b/>
          <w:sz w:val="24"/>
          <w:szCs w:val="24"/>
        </w:rPr>
      </w:pPr>
      <w:r w:rsidRPr="00BD5371">
        <w:rPr>
          <w:rFonts w:ascii="Arial" w:hAnsi="Arial" w:cs="Arial"/>
          <w:b/>
          <w:sz w:val="24"/>
          <w:szCs w:val="24"/>
        </w:rPr>
        <w:t>DEFINITIONS</w:t>
      </w:r>
      <w:r w:rsidR="003E121E" w:rsidRPr="00BD5371">
        <w:rPr>
          <w:rFonts w:ascii="Arial" w:hAnsi="Arial" w:cs="Arial"/>
          <w:b/>
          <w:sz w:val="24"/>
          <w:szCs w:val="24"/>
        </w:rPr>
        <w:t xml:space="preserve">: </w:t>
      </w:r>
      <w:r w:rsidR="003E121E" w:rsidRPr="00BD5371">
        <w:rPr>
          <w:rFonts w:ascii="Arial" w:hAnsi="Arial" w:cs="Arial"/>
          <w:bCs/>
          <w:sz w:val="24"/>
          <w:szCs w:val="24"/>
        </w:rPr>
        <w:t>For this policy, the terms below are defined as follows:</w:t>
      </w:r>
    </w:p>
    <w:p w14:paraId="6403C4B9" w14:textId="77777777" w:rsidR="003E121E" w:rsidRPr="00BD5371" w:rsidRDefault="003E121E" w:rsidP="00BD5371">
      <w:pPr>
        <w:pStyle w:val="ListParagraph"/>
        <w:jc w:val="both"/>
        <w:rPr>
          <w:rFonts w:ascii="Arial" w:hAnsi="Arial" w:cs="Arial"/>
          <w:b/>
          <w:sz w:val="24"/>
          <w:szCs w:val="24"/>
        </w:rPr>
      </w:pPr>
    </w:p>
    <w:p w14:paraId="545509C7" w14:textId="77777777" w:rsidR="009C10AE" w:rsidRDefault="003E121E" w:rsidP="009C10AE">
      <w:pPr>
        <w:rPr>
          <w:rFonts w:ascii="Verdana" w:eastAsia="Verdana" w:hAnsi="Verdana" w:cs="Verdana"/>
          <w:i/>
          <w:sz w:val="24"/>
          <w:szCs w:val="24"/>
        </w:rPr>
      </w:pPr>
      <w:r w:rsidRPr="003E5350">
        <w:rPr>
          <w:rFonts w:ascii="Arial" w:hAnsi="Arial" w:cs="Arial"/>
          <w:bCs/>
          <w:i/>
          <w:iCs/>
          <w:sz w:val="24"/>
          <w:szCs w:val="24"/>
        </w:rPr>
        <w:t>Charity Care</w:t>
      </w:r>
      <w:r w:rsidRPr="00BD5371">
        <w:rPr>
          <w:rFonts w:ascii="Arial" w:hAnsi="Arial" w:cs="Arial"/>
          <w:bCs/>
          <w:sz w:val="24"/>
          <w:szCs w:val="24"/>
        </w:rPr>
        <w:t>: Healthcare services provided to uninsured individuals who meet the RLHO’s charity-care policy, including full or partial discounts, without expectation of reimbursement.  Charity care does not include bad debt, payment shortfall(s), insurance allowances, courtesy allowances, or discounts given to patients who do not meet the RLHO’s charity care of financial assistance policy.</w:t>
      </w:r>
      <w:bookmarkStart w:id="0" w:name="_Hlk72139557"/>
      <w:r w:rsidR="009C10AE" w:rsidRPr="009C10AE">
        <w:rPr>
          <w:rFonts w:ascii="Verdana" w:eastAsia="Verdana" w:hAnsi="Verdana" w:cs="Verdana"/>
          <w:i/>
          <w:sz w:val="24"/>
          <w:szCs w:val="24"/>
        </w:rPr>
        <w:t xml:space="preserve"> </w:t>
      </w:r>
    </w:p>
    <w:p w14:paraId="06FCA8B7" w14:textId="3CD1B68D" w:rsidR="009C10AE" w:rsidRPr="009C10AE" w:rsidRDefault="009C10AE" w:rsidP="009C10AE">
      <w:pPr>
        <w:rPr>
          <w:rFonts w:ascii="Arial" w:eastAsia="Verdana" w:hAnsi="Arial" w:cs="Arial"/>
          <w:sz w:val="24"/>
          <w:szCs w:val="24"/>
        </w:rPr>
      </w:pPr>
      <w:r w:rsidRPr="009C10AE">
        <w:rPr>
          <w:rFonts w:ascii="Arial" w:eastAsia="Verdana" w:hAnsi="Arial" w:cs="Arial"/>
          <w:i/>
          <w:sz w:val="24"/>
          <w:szCs w:val="24"/>
        </w:rPr>
        <w:t>Emergency medical conditions:</w:t>
      </w:r>
      <w:r w:rsidRPr="009C10AE">
        <w:rPr>
          <w:rFonts w:ascii="Arial" w:eastAsia="Verdana" w:hAnsi="Arial" w:cs="Arial"/>
          <w:sz w:val="24"/>
          <w:szCs w:val="24"/>
        </w:rPr>
        <w:t xml:space="preserve"> Defined within the meaning of section 1867 of the Social Security Act (42 U.S.C. 1395dd).</w:t>
      </w:r>
    </w:p>
    <w:bookmarkEnd w:id="0"/>
    <w:p w14:paraId="7C7B4C4C" w14:textId="6D318139" w:rsidR="003E121E" w:rsidRPr="00BD5371" w:rsidRDefault="009C10AE" w:rsidP="00BD5371">
      <w:pPr>
        <w:jc w:val="both"/>
        <w:rPr>
          <w:rFonts w:ascii="Arial" w:eastAsia="Verdana" w:hAnsi="Arial" w:cs="Arial"/>
          <w:sz w:val="24"/>
          <w:szCs w:val="24"/>
        </w:rPr>
      </w:pPr>
      <w:r>
        <w:rPr>
          <w:rFonts w:ascii="Arial" w:eastAsia="Verdana" w:hAnsi="Arial" w:cs="Arial"/>
          <w:i/>
          <w:sz w:val="24"/>
          <w:szCs w:val="24"/>
        </w:rPr>
        <w:t>Fami</w:t>
      </w:r>
      <w:r w:rsidR="003E121E" w:rsidRPr="003E5350">
        <w:rPr>
          <w:rFonts w:ascii="Arial" w:eastAsia="Verdana" w:hAnsi="Arial" w:cs="Arial"/>
          <w:i/>
          <w:sz w:val="24"/>
          <w:szCs w:val="24"/>
        </w:rPr>
        <w:t>ly Income</w:t>
      </w:r>
      <w:r w:rsidR="003E121E" w:rsidRPr="00BD5371">
        <w:rPr>
          <w:rFonts w:ascii="Arial" w:eastAsia="Verdana" w:hAnsi="Arial" w:cs="Arial"/>
          <w:i/>
          <w:sz w:val="24"/>
          <w:szCs w:val="24"/>
        </w:rPr>
        <w:t>:</w:t>
      </w:r>
      <w:r w:rsidR="003E121E" w:rsidRPr="00BD5371">
        <w:rPr>
          <w:rFonts w:ascii="Arial" w:eastAsia="Verdana" w:hAnsi="Arial" w:cs="Arial"/>
          <w:sz w:val="24"/>
          <w:szCs w:val="24"/>
        </w:rPr>
        <w:t xml:space="preserve"> Family Income is determined using the Census Bureau definition, which uses the following income when computing federal poverty guidelines:</w:t>
      </w:r>
    </w:p>
    <w:p w14:paraId="212AF1BA" w14:textId="6E78AEBD" w:rsidR="003E121E" w:rsidRPr="00BD5371" w:rsidRDefault="003E121E" w:rsidP="00BD5371">
      <w:pPr>
        <w:pStyle w:val="ListParagraph"/>
        <w:numPr>
          <w:ilvl w:val="0"/>
          <w:numId w:val="26"/>
        </w:numPr>
        <w:spacing w:after="0" w:line="240" w:lineRule="auto"/>
        <w:jc w:val="both"/>
        <w:rPr>
          <w:rFonts w:ascii="Arial" w:eastAsia="Verdana" w:hAnsi="Arial" w:cs="Arial"/>
          <w:sz w:val="24"/>
          <w:szCs w:val="24"/>
        </w:rPr>
      </w:pPr>
      <w:r w:rsidRPr="00BD5371">
        <w:rPr>
          <w:rFonts w:ascii="Arial" w:eastAsia="Verdana" w:hAnsi="Arial" w:cs="Arial"/>
          <w:sz w:val="24"/>
          <w:szCs w:val="24"/>
        </w:rPr>
        <w:t xml:space="preserve">Includes earnings, unemployment compensation, workers’ compensation, Social Security, Supplemental Security Income, public assistance, veterans’ payments, survivor benefits, pension or retirement income, interest, dividends, rents, royalties, income from estates, trusts, educational assistance, alimony, child support, assistance from outside the household, and other </w:t>
      </w:r>
      <w:r w:rsidR="00EA6849" w:rsidRPr="00BD5371">
        <w:rPr>
          <w:rFonts w:ascii="Arial" w:eastAsia="Verdana" w:hAnsi="Arial" w:cs="Arial"/>
          <w:sz w:val="24"/>
          <w:szCs w:val="24"/>
        </w:rPr>
        <w:t>miscella</w:t>
      </w:r>
      <w:r w:rsidR="00EA6849">
        <w:rPr>
          <w:rFonts w:ascii="Arial" w:eastAsia="Verdana" w:hAnsi="Arial" w:cs="Arial"/>
          <w:sz w:val="24"/>
          <w:szCs w:val="24"/>
        </w:rPr>
        <w:t>n</w:t>
      </w:r>
      <w:r w:rsidR="00EA6849" w:rsidRPr="00BD5371">
        <w:rPr>
          <w:rFonts w:ascii="Arial" w:eastAsia="Verdana" w:hAnsi="Arial" w:cs="Arial"/>
          <w:sz w:val="24"/>
          <w:szCs w:val="24"/>
        </w:rPr>
        <w:t>eous</w:t>
      </w:r>
      <w:r w:rsidRPr="00BD5371">
        <w:rPr>
          <w:rFonts w:ascii="Arial" w:eastAsia="Verdana" w:hAnsi="Arial" w:cs="Arial"/>
          <w:sz w:val="24"/>
          <w:szCs w:val="24"/>
        </w:rPr>
        <w:t xml:space="preserve"> sources;</w:t>
      </w:r>
    </w:p>
    <w:p w14:paraId="078838A0" w14:textId="77777777" w:rsidR="003E121E" w:rsidRPr="00BD5371" w:rsidRDefault="003E121E" w:rsidP="00BD5371">
      <w:pPr>
        <w:pStyle w:val="ListParagraph"/>
        <w:numPr>
          <w:ilvl w:val="0"/>
          <w:numId w:val="26"/>
        </w:numPr>
        <w:spacing w:after="0" w:line="240" w:lineRule="auto"/>
        <w:jc w:val="both"/>
        <w:rPr>
          <w:rFonts w:ascii="Arial" w:eastAsia="Verdana" w:hAnsi="Arial" w:cs="Arial"/>
          <w:sz w:val="24"/>
          <w:szCs w:val="24"/>
        </w:rPr>
      </w:pPr>
      <w:r w:rsidRPr="00BD5371">
        <w:rPr>
          <w:rFonts w:ascii="Arial" w:eastAsia="Verdana" w:hAnsi="Arial" w:cs="Arial"/>
          <w:sz w:val="24"/>
          <w:szCs w:val="24"/>
        </w:rPr>
        <w:t>Noncash benefits (such as food stamps and housing subsidies) do not count;</w:t>
      </w:r>
    </w:p>
    <w:p w14:paraId="0FF1139E" w14:textId="77777777" w:rsidR="003E121E" w:rsidRPr="00BD5371" w:rsidRDefault="003E121E" w:rsidP="00BD5371">
      <w:pPr>
        <w:pStyle w:val="ListParagraph"/>
        <w:numPr>
          <w:ilvl w:val="0"/>
          <w:numId w:val="26"/>
        </w:numPr>
        <w:spacing w:after="0" w:line="240" w:lineRule="auto"/>
        <w:jc w:val="both"/>
        <w:rPr>
          <w:rFonts w:ascii="Arial" w:eastAsia="Verdana" w:hAnsi="Arial" w:cs="Arial"/>
          <w:sz w:val="24"/>
          <w:szCs w:val="24"/>
        </w:rPr>
      </w:pPr>
      <w:r w:rsidRPr="00BD5371">
        <w:rPr>
          <w:rFonts w:ascii="Arial" w:eastAsia="Verdana" w:hAnsi="Arial" w:cs="Arial"/>
          <w:sz w:val="24"/>
          <w:szCs w:val="24"/>
        </w:rPr>
        <w:t>Determined on a before-tax basis;</w:t>
      </w:r>
    </w:p>
    <w:p w14:paraId="2E8A3E6F" w14:textId="77777777" w:rsidR="003E121E" w:rsidRPr="00BD5371" w:rsidRDefault="003E121E" w:rsidP="00BD5371">
      <w:pPr>
        <w:pStyle w:val="ListParagraph"/>
        <w:numPr>
          <w:ilvl w:val="0"/>
          <w:numId w:val="26"/>
        </w:numPr>
        <w:spacing w:after="0" w:line="240" w:lineRule="auto"/>
        <w:jc w:val="both"/>
        <w:rPr>
          <w:rFonts w:ascii="Arial" w:eastAsia="Verdana" w:hAnsi="Arial" w:cs="Arial"/>
          <w:sz w:val="24"/>
          <w:szCs w:val="24"/>
        </w:rPr>
      </w:pPr>
      <w:r w:rsidRPr="00BD5371">
        <w:rPr>
          <w:rFonts w:ascii="Arial" w:eastAsia="Verdana" w:hAnsi="Arial" w:cs="Arial"/>
          <w:sz w:val="24"/>
          <w:szCs w:val="24"/>
        </w:rPr>
        <w:t>Excludes capital gains or losses; and</w:t>
      </w:r>
    </w:p>
    <w:p w14:paraId="0889FE58" w14:textId="77777777" w:rsidR="003E121E" w:rsidRPr="00BD5371" w:rsidRDefault="003E121E" w:rsidP="00BD5371">
      <w:pPr>
        <w:pStyle w:val="ListParagraph"/>
        <w:numPr>
          <w:ilvl w:val="0"/>
          <w:numId w:val="26"/>
        </w:numPr>
        <w:spacing w:after="0" w:line="240" w:lineRule="auto"/>
        <w:jc w:val="both"/>
        <w:rPr>
          <w:rFonts w:ascii="Arial" w:eastAsia="Verdana" w:hAnsi="Arial" w:cs="Arial"/>
          <w:sz w:val="24"/>
          <w:szCs w:val="24"/>
        </w:rPr>
      </w:pPr>
      <w:r w:rsidRPr="00BD5371">
        <w:rPr>
          <w:rFonts w:ascii="Arial" w:eastAsia="Verdana" w:hAnsi="Arial" w:cs="Arial"/>
          <w:sz w:val="24"/>
          <w:szCs w:val="24"/>
        </w:rPr>
        <w:t>If a person lives with a family, includes the income of all family members (Non-relatives, such as housemates, do not count).</w:t>
      </w:r>
    </w:p>
    <w:p w14:paraId="30EF3D87" w14:textId="77777777" w:rsidR="003E121E" w:rsidRPr="00BD5371" w:rsidRDefault="003E121E" w:rsidP="00BD5371">
      <w:pPr>
        <w:jc w:val="both"/>
        <w:rPr>
          <w:rFonts w:ascii="Arial" w:eastAsia="Verdana" w:hAnsi="Arial" w:cs="Arial"/>
          <w:sz w:val="24"/>
          <w:szCs w:val="24"/>
        </w:rPr>
      </w:pPr>
    </w:p>
    <w:p w14:paraId="6518296D" w14:textId="77777777" w:rsidR="003E121E" w:rsidRPr="00BD5371" w:rsidRDefault="003E121E" w:rsidP="00BD5371">
      <w:pPr>
        <w:jc w:val="both"/>
        <w:rPr>
          <w:rFonts w:ascii="Arial" w:eastAsia="Verdana" w:hAnsi="Arial" w:cs="Arial"/>
          <w:sz w:val="24"/>
          <w:szCs w:val="24"/>
        </w:rPr>
      </w:pPr>
      <w:r w:rsidRPr="003E5350">
        <w:rPr>
          <w:rFonts w:ascii="Arial" w:eastAsia="Verdana" w:hAnsi="Arial" w:cs="Arial"/>
          <w:i/>
          <w:sz w:val="24"/>
          <w:szCs w:val="24"/>
        </w:rPr>
        <w:t>Federal Poverty Level (FPL)</w:t>
      </w:r>
      <w:r w:rsidRPr="00BD5371">
        <w:rPr>
          <w:rFonts w:ascii="Arial" w:eastAsia="Verdana" w:hAnsi="Arial" w:cs="Arial"/>
          <w:i/>
          <w:sz w:val="24"/>
          <w:szCs w:val="24"/>
        </w:rPr>
        <w:t xml:space="preserve">: </w:t>
      </w:r>
      <w:r w:rsidRPr="00BD5371">
        <w:rPr>
          <w:rFonts w:ascii="Arial" w:eastAsia="Verdana" w:hAnsi="Arial" w:cs="Arial"/>
          <w:sz w:val="24"/>
          <w:szCs w:val="24"/>
        </w:rPr>
        <w:t>FPL means the poverty guidelines updated periodically in the Federal Register by the United States Department of Health and Human Services.</w:t>
      </w:r>
    </w:p>
    <w:p w14:paraId="1814112C" w14:textId="77777777" w:rsidR="003E121E" w:rsidRPr="00BD5371" w:rsidRDefault="003E121E" w:rsidP="00BD5371">
      <w:pPr>
        <w:jc w:val="both"/>
        <w:rPr>
          <w:rFonts w:ascii="Arial" w:eastAsia="Verdana" w:hAnsi="Arial" w:cs="Arial"/>
          <w:sz w:val="24"/>
          <w:szCs w:val="24"/>
        </w:rPr>
      </w:pPr>
      <w:r w:rsidRPr="003E5350">
        <w:rPr>
          <w:rFonts w:ascii="Arial" w:eastAsia="Verdana" w:hAnsi="Arial" w:cs="Arial"/>
          <w:i/>
          <w:sz w:val="24"/>
          <w:szCs w:val="24"/>
        </w:rPr>
        <w:t>Gross charges</w:t>
      </w:r>
      <w:r w:rsidRPr="00BD5371">
        <w:rPr>
          <w:rFonts w:ascii="Arial" w:eastAsia="Verdana" w:hAnsi="Arial" w:cs="Arial"/>
          <w:i/>
          <w:sz w:val="24"/>
          <w:szCs w:val="24"/>
        </w:rPr>
        <w:t>:</w:t>
      </w:r>
      <w:r w:rsidRPr="00BD5371">
        <w:rPr>
          <w:rFonts w:ascii="Arial" w:eastAsia="Verdana" w:hAnsi="Arial" w:cs="Arial"/>
          <w:sz w:val="24"/>
          <w:szCs w:val="24"/>
        </w:rPr>
        <w:t xml:space="preserve"> The total charges at the organization’s full established rates for the provision of patient care services before deductions from revenue are applied.</w:t>
      </w:r>
    </w:p>
    <w:p w14:paraId="02AF733A" w14:textId="77777777" w:rsidR="003E121E" w:rsidRPr="00BD5371" w:rsidRDefault="003E121E" w:rsidP="00BD5371">
      <w:pPr>
        <w:jc w:val="both"/>
        <w:rPr>
          <w:rFonts w:ascii="Arial" w:eastAsia="Verdana" w:hAnsi="Arial" w:cs="Arial"/>
          <w:i/>
          <w:sz w:val="24"/>
          <w:szCs w:val="24"/>
        </w:rPr>
      </w:pPr>
      <w:r w:rsidRPr="003E5350">
        <w:rPr>
          <w:rFonts w:ascii="Arial" w:eastAsia="Verdana" w:hAnsi="Arial" w:cs="Arial"/>
          <w:i/>
          <w:sz w:val="24"/>
          <w:szCs w:val="24"/>
        </w:rPr>
        <w:t>Medically necessary</w:t>
      </w:r>
      <w:r w:rsidRPr="00BD5371">
        <w:rPr>
          <w:rFonts w:ascii="Arial" w:eastAsia="Verdana" w:hAnsi="Arial" w:cs="Arial"/>
          <w:i/>
          <w:sz w:val="24"/>
          <w:szCs w:val="24"/>
        </w:rPr>
        <w:t xml:space="preserve">: </w:t>
      </w:r>
      <w:r w:rsidRPr="00BD5371">
        <w:rPr>
          <w:rFonts w:ascii="Arial" w:eastAsia="Verdana" w:hAnsi="Arial" w:cs="Arial"/>
          <w:sz w:val="24"/>
          <w:szCs w:val="24"/>
        </w:rPr>
        <w:t>As defined by Medicare (services or items reasonable and necessary for the diagnosis or treatment of illness or injury).</w:t>
      </w:r>
      <w:r w:rsidRPr="00BD5371">
        <w:rPr>
          <w:rFonts w:ascii="Arial" w:eastAsia="Verdana" w:hAnsi="Arial" w:cs="Arial"/>
          <w:i/>
          <w:sz w:val="24"/>
          <w:szCs w:val="24"/>
        </w:rPr>
        <w:t xml:space="preserve"> </w:t>
      </w:r>
    </w:p>
    <w:p w14:paraId="13657898" w14:textId="77777777" w:rsidR="003E121E" w:rsidRPr="00BD5371" w:rsidRDefault="003E121E" w:rsidP="00BD5371">
      <w:pPr>
        <w:jc w:val="both"/>
        <w:rPr>
          <w:rFonts w:ascii="Arial" w:eastAsia="Verdana" w:hAnsi="Arial" w:cs="Arial"/>
          <w:sz w:val="24"/>
          <w:szCs w:val="24"/>
        </w:rPr>
      </w:pPr>
      <w:r w:rsidRPr="003E5350">
        <w:rPr>
          <w:rFonts w:ascii="Arial" w:eastAsia="Verdana" w:hAnsi="Arial" w:cs="Arial"/>
          <w:i/>
          <w:sz w:val="24"/>
          <w:szCs w:val="24"/>
        </w:rPr>
        <w:t>Presumptive Eligibility for Charity Care</w:t>
      </w:r>
      <w:r w:rsidRPr="00BD5371">
        <w:rPr>
          <w:rFonts w:ascii="Arial" w:eastAsia="Verdana" w:hAnsi="Arial" w:cs="Arial"/>
          <w:i/>
          <w:sz w:val="24"/>
          <w:szCs w:val="24"/>
        </w:rPr>
        <w:t>:</w:t>
      </w:r>
      <w:r w:rsidRPr="00BD5371">
        <w:rPr>
          <w:rFonts w:ascii="Arial" w:eastAsia="Verdana" w:hAnsi="Arial" w:cs="Arial"/>
          <w:sz w:val="24"/>
          <w:szCs w:val="24"/>
        </w:rPr>
        <w:t xml:space="preserve"> Eligibility for charity care using an industry-recognized financial assessment tool that evaluates ability to pay based on publicly available financial or other records, including but not limited to household income, household size, and credit and payment-recognized financial assessment tool that evaluates ability to pay based on publicly available financial or other records, including but not limited to household income, household size, and credit and payment history. Such presumptive eligibility may be determined through means other than a full financial assessment.</w:t>
      </w:r>
    </w:p>
    <w:p w14:paraId="65CD3E0D" w14:textId="1D3282EB" w:rsidR="003E121E" w:rsidRPr="00BD5371" w:rsidRDefault="003E121E" w:rsidP="00BD5371">
      <w:pPr>
        <w:jc w:val="both"/>
        <w:rPr>
          <w:rFonts w:ascii="Arial" w:eastAsia="Verdana" w:hAnsi="Arial" w:cs="Arial"/>
          <w:sz w:val="24"/>
          <w:szCs w:val="24"/>
        </w:rPr>
      </w:pPr>
      <w:r w:rsidRPr="00BD5371">
        <w:rPr>
          <w:rFonts w:ascii="Arial" w:eastAsia="Verdana" w:hAnsi="Arial" w:cs="Arial"/>
          <w:i/>
          <w:sz w:val="24"/>
          <w:szCs w:val="24"/>
        </w:rPr>
        <w:t xml:space="preserve">Support, Maintenance, and Treatment (SMT) Rate: </w:t>
      </w:r>
      <w:r w:rsidRPr="00BD5371">
        <w:rPr>
          <w:rFonts w:ascii="Arial" w:eastAsia="Verdana" w:hAnsi="Arial" w:cs="Arial"/>
          <w:sz w:val="24"/>
          <w:szCs w:val="24"/>
        </w:rPr>
        <w:t xml:space="preserve">The rate established by </w:t>
      </w:r>
      <w:r w:rsidR="003E5350">
        <w:rPr>
          <w:rFonts w:ascii="Arial" w:eastAsia="Verdana" w:hAnsi="Arial" w:cs="Arial"/>
          <w:sz w:val="24"/>
          <w:szCs w:val="24"/>
        </w:rPr>
        <w:t>TCID</w:t>
      </w:r>
      <w:r w:rsidRPr="00BD5371">
        <w:rPr>
          <w:rFonts w:ascii="Arial" w:eastAsia="Verdana" w:hAnsi="Arial" w:cs="Arial"/>
          <w:sz w:val="24"/>
          <w:szCs w:val="24"/>
        </w:rPr>
        <w:t xml:space="preserve"> that reflects the average daily inpatient hospitalization cost per patient</w:t>
      </w:r>
      <w:r w:rsidR="003E5350">
        <w:rPr>
          <w:rFonts w:ascii="Arial" w:eastAsia="Verdana" w:hAnsi="Arial" w:cs="Arial"/>
          <w:sz w:val="24"/>
          <w:szCs w:val="24"/>
        </w:rPr>
        <w:t>.</w:t>
      </w:r>
      <w:r w:rsidRPr="00BD5371">
        <w:rPr>
          <w:rFonts w:ascii="Arial" w:eastAsia="Verdana" w:hAnsi="Arial" w:cs="Arial"/>
          <w:sz w:val="24"/>
          <w:szCs w:val="24"/>
        </w:rPr>
        <w:t xml:space="preserve"> The rate includes most salary and benefit-related costs, client services costs (pharmacy, nursing), operating costs (maintenance, laundry, central supply, housekeeping), professional fees, and other direct costs.</w:t>
      </w:r>
    </w:p>
    <w:p w14:paraId="5E08B2AF" w14:textId="77777777" w:rsidR="003E121E" w:rsidRPr="00BD5371" w:rsidRDefault="003E121E" w:rsidP="00BD5371">
      <w:pPr>
        <w:jc w:val="both"/>
        <w:rPr>
          <w:rFonts w:ascii="Arial" w:eastAsia="Verdana" w:hAnsi="Arial" w:cs="Arial"/>
          <w:sz w:val="24"/>
          <w:szCs w:val="24"/>
        </w:rPr>
      </w:pPr>
      <w:r w:rsidRPr="00BD5371">
        <w:rPr>
          <w:rFonts w:ascii="Arial" w:eastAsia="Verdana" w:hAnsi="Arial" w:cs="Arial"/>
          <w:i/>
          <w:sz w:val="24"/>
          <w:szCs w:val="24"/>
        </w:rPr>
        <w:t xml:space="preserve">Underinsured: </w:t>
      </w:r>
      <w:r w:rsidRPr="00BD5371">
        <w:rPr>
          <w:rFonts w:ascii="Arial" w:eastAsia="Verdana" w:hAnsi="Arial" w:cs="Arial"/>
          <w:sz w:val="24"/>
          <w:szCs w:val="24"/>
        </w:rPr>
        <w:t>The patient has some level of insurance or third-party assistance but still has out-of-pocket expenses that exceed his/her financial abilities.</w:t>
      </w:r>
    </w:p>
    <w:p w14:paraId="53C5D886" w14:textId="77777777" w:rsidR="003E121E" w:rsidRPr="00BD5371" w:rsidRDefault="003E121E" w:rsidP="00BD5371">
      <w:pPr>
        <w:jc w:val="both"/>
        <w:rPr>
          <w:rFonts w:ascii="Arial" w:eastAsia="Verdana" w:hAnsi="Arial" w:cs="Arial"/>
          <w:sz w:val="24"/>
          <w:szCs w:val="24"/>
        </w:rPr>
      </w:pPr>
      <w:r w:rsidRPr="00BD5371">
        <w:rPr>
          <w:rFonts w:ascii="Arial" w:eastAsia="Verdana" w:hAnsi="Arial" w:cs="Arial"/>
          <w:i/>
          <w:sz w:val="24"/>
          <w:szCs w:val="24"/>
        </w:rPr>
        <w:t>Uninsured:</w:t>
      </w:r>
      <w:r w:rsidRPr="00BD5371">
        <w:rPr>
          <w:rFonts w:ascii="Arial" w:eastAsia="Verdana" w:hAnsi="Arial" w:cs="Arial"/>
          <w:sz w:val="24"/>
          <w:szCs w:val="24"/>
        </w:rPr>
        <w:t xml:space="preserve"> The patient has no level of insurance or third-party assistance to assist with meeting his/her payment obligations.</w:t>
      </w:r>
    </w:p>
    <w:p w14:paraId="68106B2A" w14:textId="77777777" w:rsidR="003E121E" w:rsidRPr="00BD5371" w:rsidRDefault="003E121E" w:rsidP="00BD5371">
      <w:pPr>
        <w:jc w:val="both"/>
        <w:rPr>
          <w:rFonts w:ascii="Arial" w:eastAsia="Verdana" w:hAnsi="Arial" w:cs="Arial"/>
          <w:sz w:val="24"/>
          <w:szCs w:val="24"/>
        </w:rPr>
      </w:pPr>
    </w:p>
    <w:p w14:paraId="35BF1679" w14:textId="58EC05F8" w:rsidR="003E121E" w:rsidRPr="00BD5371" w:rsidRDefault="003E121E" w:rsidP="00BD5371">
      <w:pPr>
        <w:jc w:val="both"/>
        <w:rPr>
          <w:rFonts w:ascii="Arial" w:eastAsia="Verdana" w:hAnsi="Arial" w:cs="Arial"/>
          <w:sz w:val="24"/>
          <w:szCs w:val="24"/>
        </w:rPr>
      </w:pPr>
    </w:p>
    <w:p w14:paraId="7ECDDDC5" w14:textId="77777777" w:rsidR="003E121E" w:rsidRPr="00BD5371" w:rsidRDefault="003E121E" w:rsidP="00BD5371">
      <w:pPr>
        <w:jc w:val="both"/>
        <w:rPr>
          <w:rFonts w:ascii="Arial" w:eastAsia="Verdana" w:hAnsi="Arial" w:cs="Arial"/>
          <w:i/>
          <w:sz w:val="24"/>
          <w:szCs w:val="24"/>
        </w:rPr>
      </w:pPr>
    </w:p>
    <w:p w14:paraId="766F59E7" w14:textId="77777777" w:rsidR="003E121E" w:rsidRPr="00BD5371" w:rsidRDefault="003E121E" w:rsidP="00BD5371">
      <w:pPr>
        <w:jc w:val="both"/>
        <w:rPr>
          <w:rFonts w:ascii="Arial" w:eastAsia="Verdana" w:hAnsi="Arial" w:cs="Arial"/>
          <w:i/>
          <w:sz w:val="24"/>
          <w:szCs w:val="24"/>
        </w:rPr>
      </w:pPr>
    </w:p>
    <w:p w14:paraId="3D6197A7" w14:textId="28D8F24C" w:rsidR="003E121E" w:rsidRPr="00BD5371" w:rsidRDefault="003E121E" w:rsidP="00BD5371">
      <w:pPr>
        <w:pStyle w:val="ListParagraph"/>
        <w:tabs>
          <w:tab w:val="left" w:pos="1335"/>
        </w:tabs>
        <w:spacing w:line="240" w:lineRule="auto"/>
        <w:ind w:left="360"/>
        <w:jc w:val="both"/>
        <w:rPr>
          <w:rFonts w:ascii="Arial" w:hAnsi="Arial" w:cs="Arial"/>
          <w:bCs/>
          <w:sz w:val="24"/>
          <w:szCs w:val="24"/>
        </w:rPr>
      </w:pPr>
    </w:p>
    <w:p w14:paraId="529452F0" w14:textId="4E062C2C" w:rsidR="00EA0EA9" w:rsidRPr="00BD5371" w:rsidRDefault="00EA0EA9" w:rsidP="00BD5371">
      <w:pPr>
        <w:pStyle w:val="ListParagraph"/>
        <w:tabs>
          <w:tab w:val="left" w:pos="1335"/>
        </w:tabs>
        <w:spacing w:line="240" w:lineRule="auto"/>
        <w:ind w:left="360"/>
        <w:jc w:val="both"/>
        <w:rPr>
          <w:rFonts w:ascii="Arial" w:hAnsi="Arial" w:cs="Arial"/>
          <w:sz w:val="24"/>
          <w:szCs w:val="24"/>
        </w:rPr>
      </w:pPr>
    </w:p>
    <w:p w14:paraId="154FBF18" w14:textId="2A7015F1" w:rsidR="003E121E" w:rsidRPr="00BD5371" w:rsidRDefault="00443516" w:rsidP="00BD5371">
      <w:pPr>
        <w:jc w:val="both"/>
        <w:rPr>
          <w:rFonts w:ascii="Arial" w:hAnsi="Arial" w:cs="Arial"/>
          <w:bCs/>
          <w:sz w:val="24"/>
          <w:szCs w:val="24"/>
        </w:rPr>
      </w:pPr>
      <w:r w:rsidRPr="00BD5371">
        <w:rPr>
          <w:rFonts w:ascii="Arial" w:hAnsi="Arial" w:cs="Arial"/>
          <w:b/>
          <w:sz w:val="24"/>
          <w:szCs w:val="24"/>
        </w:rPr>
        <w:t>PROCEDURE</w:t>
      </w:r>
      <w:r w:rsidR="0037557E">
        <w:rPr>
          <w:rFonts w:ascii="Arial" w:hAnsi="Arial" w:cs="Arial"/>
          <w:b/>
          <w:sz w:val="24"/>
          <w:szCs w:val="24"/>
        </w:rPr>
        <w:t xml:space="preserve">: </w:t>
      </w:r>
      <w:r w:rsidR="003E121E" w:rsidRPr="00BD5371">
        <w:rPr>
          <w:rFonts w:ascii="Arial" w:hAnsi="Arial" w:cs="Arial"/>
          <w:bCs/>
          <w:sz w:val="24"/>
          <w:szCs w:val="24"/>
        </w:rPr>
        <w:t xml:space="preserve"> The </w:t>
      </w:r>
      <w:r w:rsidR="003E5350">
        <w:rPr>
          <w:rFonts w:ascii="Arial" w:hAnsi="Arial" w:cs="Arial"/>
          <w:bCs/>
          <w:sz w:val="24"/>
          <w:szCs w:val="24"/>
        </w:rPr>
        <w:t>TCID</w:t>
      </w:r>
      <w:r w:rsidR="003E121E" w:rsidRPr="00BD5371">
        <w:rPr>
          <w:rFonts w:ascii="Arial" w:hAnsi="Arial" w:cs="Arial"/>
          <w:bCs/>
          <w:sz w:val="24"/>
          <w:szCs w:val="24"/>
        </w:rPr>
        <w:t xml:space="preserve"> will provide free or discounted hospital services to qualified low income, uninsured and underinsured patients when the ability to pay for services is a barrier to accessing medically necessary </w:t>
      </w:r>
      <w:r w:rsidR="009C10AE">
        <w:rPr>
          <w:rFonts w:ascii="Arial" w:hAnsi="Arial" w:cs="Arial"/>
          <w:bCs/>
          <w:sz w:val="24"/>
          <w:szCs w:val="24"/>
        </w:rPr>
        <w:t>emergency</w:t>
      </w:r>
      <w:r w:rsidR="003E121E" w:rsidRPr="00BD5371">
        <w:rPr>
          <w:rFonts w:ascii="Arial" w:hAnsi="Arial" w:cs="Arial"/>
          <w:bCs/>
          <w:sz w:val="24"/>
          <w:szCs w:val="24"/>
        </w:rPr>
        <w:t xml:space="preserve"> and other hospital care and no alternative source of coverage has been identified. Patients must meet the eligibility requirements described in this policy to qualify.</w:t>
      </w:r>
    </w:p>
    <w:p w14:paraId="2F62B27F" w14:textId="77777777" w:rsidR="003E121E" w:rsidRPr="00BD5371" w:rsidRDefault="003E121E" w:rsidP="00BD5371">
      <w:pPr>
        <w:jc w:val="both"/>
        <w:rPr>
          <w:rFonts w:ascii="Arial" w:hAnsi="Arial" w:cs="Arial"/>
          <w:bCs/>
          <w:sz w:val="24"/>
          <w:szCs w:val="24"/>
        </w:rPr>
      </w:pPr>
    </w:p>
    <w:p w14:paraId="69826A7A" w14:textId="048BC112" w:rsidR="00AA0899" w:rsidRPr="00BD5371" w:rsidRDefault="003E5350" w:rsidP="00BD5371">
      <w:pPr>
        <w:jc w:val="both"/>
        <w:rPr>
          <w:rFonts w:ascii="Arial" w:hAnsi="Arial" w:cs="Arial"/>
          <w:bCs/>
          <w:sz w:val="24"/>
          <w:szCs w:val="24"/>
        </w:rPr>
      </w:pPr>
      <w:r>
        <w:rPr>
          <w:rFonts w:ascii="Arial" w:hAnsi="Arial" w:cs="Arial"/>
          <w:bCs/>
          <w:sz w:val="24"/>
          <w:szCs w:val="24"/>
        </w:rPr>
        <w:t>The TCID</w:t>
      </w:r>
      <w:r w:rsidR="003E121E" w:rsidRPr="00BD5371">
        <w:rPr>
          <w:rFonts w:ascii="Arial" w:hAnsi="Arial" w:cs="Arial"/>
          <w:bCs/>
          <w:sz w:val="24"/>
          <w:szCs w:val="24"/>
        </w:rPr>
        <w:t xml:space="preserve"> will provide, without discrimination, care for emergency medical conditions (within the meaning of the Emergency Medical Treatment and Labor Act) consistent with available capabilities, regardless of whether an individual is eligible for financial assistance. The </w:t>
      </w:r>
      <w:r w:rsidR="0037557E">
        <w:rPr>
          <w:rFonts w:ascii="Arial" w:hAnsi="Arial" w:cs="Arial"/>
          <w:bCs/>
          <w:sz w:val="24"/>
          <w:szCs w:val="24"/>
        </w:rPr>
        <w:t>TCID</w:t>
      </w:r>
      <w:r w:rsidR="003E121E" w:rsidRPr="00BD5371">
        <w:rPr>
          <w:rFonts w:ascii="Arial" w:hAnsi="Arial" w:cs="Arial"/>
          <w:bCs/>
          <w:sz w:val="24"/>
          <w:szCs w:val="24"/>
        </w:rPr>
        <w:t xml:space="preserve"> will not discriminate on the basis of age, race, color, creed, ethnicity, religion, national origin, marital status, sex, sexual orientation, gender identity or expression, disability, veteran or military status, or any other basis prohibited by federal, state, or local law when making financial assistance determinations. </w:t>
      </w:r>
    </w:p>
    <w:p w14:paraId="6D36CEEF" w14:textId="2F59A676" w:rsidR="00AA0899" w:rsidRPr="00BD5371" w:rsidRDefault="0037557E" w:rsidP="00BD5371">
      <w:pPr>
        <w:jc w:val="both"/>
        <w:rPr>
          <w:rFonts w:ascii="Arial" w:hAnsi="Arial" w:cs="Arial"/>
          <w:bCs/>
          <w:sz w:val="24"/>
          <w:szCs w:val="24"/>
        </w:rPr>
      </w:pPr>
      <w:r>
        <w:rPr>
          <w:rFonts w:ascii="Arial" w:hAnsi="Arial" w:cs="Arial"/>
          <w:bCs/>
          <w:sz w:val="24"/>
          <w:szCs w:val="24"/>
        </w:rPr>
        <w:t>The TCID</w:t>
      </w:r>
      <w:r w:rsidR="003E121E" w:rsidRPr="00BD5371">
        <w:rPr>
          <w:rFonts w:ascii="Arial" w:hAnsi="Arial" w:cs="Arial"/>
          <w:bCs/>
          <w:sz w:val="24"/>
          <w:szCs w:val="24"/>
        </w:rPr>
        <w:t xml:space="preserve"> will provide emergency medical screening examinations and stabilizing </w:t>
      </w:r>
      <w:proofErr w:type="gramStart"/>
      <w:r w:rsidR="003E121E" w:rsidRPr="00BD5371">
        <w:rPr>
          <w:rFonts w:ascii="Arial" w:hAnsi="Arial" w:cs="Arial"/>
          <w:bCs/>
          <w:sz w:val="24"/>
          <w:szCs w:val="24"/>
        </w:rPr>
        <w:t xml:space="preserve">treatment, </w:t>
      </w:r>
      <w:r w:rsidR="00EA6849">
        <w:rPr>
          <w:rFonts w:ascii="Arial" w:hAnsi="Arial" w:cs="Arial"/>
          <w:bCs/>
          <w:sz w:val="24"/>
          <w:szCs w:val="24"/>
        </w:rPr>
        <w:t>o</w:t>
      </w:r>
      <w:r w:rsidR="003E121E" w:rsidRPr="00BD5371">
        <w:rPr>
          <w:rFonts w:ascii="Arial" w:hAnsi="Arial" w:cs="Arial"/>
          <w:bCs/>
          <w:sz w:val="24"/>
          <w:szCs w:val="24"/>
        </w:rPr>
        <w:t>r</w:t>
      </w:r>
      <w:proofErr w:type="gramEnd"/>
      <w:r w:rsidR="003E121E" w:rsidRPr="00BD5371">
        <w:rPr>
          <w:rFonts w:ascii="Arial" w:hAnsi="Arial" w:cs="Arial"/>
          <w:bCs/>
          <w:sz w:val="24"/>
          <w:szCs w:val="24"/>
        </w:rPr>
        <w:t xml:space="preserve"> refer and transfer an individual if such transfer is appropriate in accordance with 42 C.F.R §482.55. The </w:t>
      </w:r>
      <w:r>
        <w:rPr>
          <w:rFonts w:ascii="Arial" w:hAnsi="Arial" w:cs="Arial"/>
          <w:bCs/>
          <w:sz w:val="24"/>
          <w:szCs w:val="24"/>
        </w:rPr>
        <w:t>TCID</w:t>
      </w:r>
      <w:r w:rsidR="003E121E" w:rsidRPr="00BD5371">
        <w:rPr>
          <w:rFonts w:ascii="Arial" w:hAnsi="Arial" w:cs="Arial"/>
          <w:bCs/>
          <w:sz w:val="24"/>
          <w:szCs w:val="24"/>
        </w:rPr>
        <w:t xml:space="preserve"> prohibits any actions, admission practices, or policies that would discourage individuals from seeking emergency medical care, such as permitting debt collection activities that interfere with the provision of emergency medical care.</w:t>
      </w:r>
      <w:r w:rsidR="00AA0899" w:rsidRPr="00BD5371">
        <w:rPr>
          <w:rFonts w:ascii="Arial" w:hAnsi="Arial" w:cs="Arial"/>
          <w:bCs/>
          <w:sz w:val="24"/>
          <w:szCs w:val="24"/>
        </w:rPr>
        <w:t xml:space="preserve"> </w:t>
      </w:r>
    </w:p>
    <w:p w14:paraId="71B7930C" w14:textId="139C4604" w:rsidR="00AA0899" w:rsidRPr="00BD5371" w:rsidRDefault="00AA0899" w:rsidP="00BD5371">
      <w:pPr>
        <w:jc w:val="both"/>
        <w:rPr>
          <w:rFonts w:ascii="Arial" w:hAnsi="Arial" w:cs="Arial"/>
          <w:bCs/>
          <w:sz w:val="24"/>
          <w:szCs w:val="24"/>
        </w:rPr>
      </w:pPr>
      <w:r w:rsidRPr="00BD5371">
        <w:rPr>
          <w:rFonts w:ascii="Arial" w:hAnsi="Arial" w:cs="Arial"/>
          <w:bCs/>
          <w:sz w:val="24"/>
          <w:szCs w:val="24"/>
        </w:rPr>
        <w:t>This written policy:</w:t>
      </w:r>
    </w:p>
    <w:p w14:paraId="0FE37089" w14:textId="77777777" w:rsidR="0037557E" w:rsidRDefault="00AA0899" w:rsidP="00BD5371">
      <w:pPr>
        <w:pStyle w:val="ListParagraph"/>
        <w:numPr>
          <w:ilvl w:val="0"/>
          <w:numId w:val="27"/>
        </w:numPr>
        <w:spacing w:after="0" w:line="240" w:lineRule="auto"/>
        <w:jc w:val="both"/>
        <w:rPr>
          <w:rFonts w:ascii="Arial" w:hAnsi="Arial" w:cs="Arial"/>
          <w:bCs/>
          <w:sz w:val="24"/>
          <w:szCs w:val="24"/>
        </w:rPr>
      </w:pPr>
      <w:r w:rsidRPr="00BD5371">
        <w:rPr>
          <w:rFonts w:ascii="Arial" w:hAnsi="Arial" w:cs="Arial"/>
          <w:bCs/>
          <w:sz w:val="24"/>
          <w:szCs w:val="24"/>
        </w:rPr>
        <w:t xml:space="preserve">Includes eligibility criteria for financial assistance – free and discounted (partial charity) care </w:t>
      </w:r>
    </w:p>
    <w:p w14:paraId="35C09B0B" w14:textId="520B2050" w:rsidR="00AA0899" w:rsidRPr="00BD5371" w:rsidRDefault="00AA0899" w:rsidP="00BD5371">
      <w:pPr>
        <w:pStyle w:val="ListParagraph"/>
        <w:numPr>
          <w:ilvl w:val="0"/>
          <w:numId w:val="27"/>
        </w:numPr>
        <w:spacing w:after="0" w:line="240" w:lineRule="auto"/>
        <w:jc w:val="both"/>
        <w:rPr>
          <w:rFonts w:ascii="Arial" w:hAnsi="Arial" w:cs="Arial"/>
          <w:bCs/>
          <w:sz w:val="24"/>
          <w:szCs w:val="24"/>
        </w:rPr>
      </w:pPr>
      <w:r w:rsidRPr="00BD5371">
        <w:rPr>
          <w:rFonts w:ascii="Arial" w:hAnsi="Arial" w:cs="Arial"/>
          <w:bCs/>
          <w:sz w:val="24"/>
          <w:szCs w:val="24"/>
        </w:rPr>
        <w:t>Describes the basis for calculating amounts charged to patients eligible for financial assistance under this policy</w:t>
      </w:r>
    </w:p>
    <w:p w14:paraId="3908BDC1" w14:textId="77777777" w:rsidR="00AA0899" w:rsidRPr="00BD5371" w:rsidRDefault="00AA0899" w:rsidP="00BD5371">
      <w:pPr>
        <w:pStyle w:val="ListParagraph"/>
        <w:numPr>
          <w:ilvl w:val="0"/>
          <w:numId w:val="27"/>
        </w:numPr>
        <w:spacing w:after="0" w:line="240" w:lineRule="auto"/>
        <w:jc w:val="both"/>
        <w:rPr>
          <w:rFonts w:ascii="Arial" w:hAnsi="Arial" w:cs="Arial"/>
          <w:bCs/>
          <w:sz w:val="24"/>
          <w:szCs w:val="24"/>
        </w:rPr>
      </w:pPr>
      <w:r w:rsidRPr="00BD5371">
        <w:rPr>
          <w:rFonts w:ascii="Arial" w:hAnsi="Arial" w:cs="Arial"/>
          <w:bCs/>
          <w:sz w:val="24"/>
          <w:szCs w:val="24"/>
        </w:rPr>
        <w:t>Describes the method by which patients may apply for financial assistance</w:t>
      </w:r>
    </w:p>
    <w:p w14:paraId="1F6456E7" w14:textId="77777777" w:rsidR="00AA0899" w:rsidRPr="00BD5371" w:rsidRDefault="00AA0899" w:rsidP="00BD5371">
      <w:pPr>
        <w:pStyle w:val="ListParagraph"/>
        <w:numPr>
          <w:ilvl w:val="0"/>
          <w:numId w:val="27"/>
        </w:numPr>
        <w:spacing w:after="0" w:line="240" w:lineRule="auto"/>
        <w:jc w:val="both"/>
        <w:rPr>
          <w:rFonts w:ascii="Arial" w:hAnsi="Arial" w:cs="Arial"/>
          <w:bCs/>
          <w:sz w:val="24"/>
          <w:szCs w:val="24"/>
        </w:rPr>
      </w:pPr>
      <w:r w:rsidRPr="00BD5371">
        <w:rPr>
          <w:rFonts w:ascii="Arial" w:hAnsi="Arial" w:cs="Arial"/>
          <w:bCs/>
          <w:sz w:val="24"/>
          <w:szCs w:val="24"/>
        </w:rPr>
        <w:t>Describes how the hospital will widely publicize the policy within the community served by the hospital</w:t>
      </w:r>
    </w:p>
    <w:p w14:paraId="6766A1D3" w14:textId="77777777" w:rsidR="00AA0899" w:rsidRPr="00BD5371" w:rsidRDefault="00AA0899" w:rsidP="00BD5371">
      <w:pPr>
        <w:pStyle w:val="ListParagraph"/>
        <w:numPr>
          <w:ilvl w:val="0"/>
          <w:numId w:val="27"/>
        </w:numPr>
        <w:spacing w:after="0" w:line="240" w:lineRule="auto"/>
        <w:jc w:val="both"/>
        <w:rPr>
          <w:rFonts w:ascii="Arial" w:hAnsi="Arial" w:cs="Arial"/>
          <w:bCs/>
          <w:sz w:val="24"/>
          <w:szCs w:val="24"/>
        </w:rPr>
      </w:pPr>
      <w:r w:rsidRPr="00BD5371">
        <w:rPr>
          <w:rFonts w:ascii="Arial" w:hAnsi="Arial" w:cs="Arial"/>
          <w:bCs/>
          <w:sz w:val="24"/>
          <w:szCs w:val="24"/>
        </w:rPr>
        <w:t>Limits the amounts that the hospital will charge for emergency or other medically necessary care provided to individuals eligible for financial assistance to amount generally billed (received by) the hospital for commercially insured or Medicare patients.</w:t>
      </w:r>
    </w:p>
    <w:p w14:paraId="675B078C" w14:textId="77777777" w:rsidR="00AA0899" w:rsidRPr="00BD5371" w:rsidRDefault="00AA0899" w:rsidP="00BD5371">
      <w:pPr>
        <w:jc w:val="both"/>
        <w:rPr>
          <w:rFonts w:ascii="Arial" w:hAnsi="Arial" w:cs="Arial"/>
          <w:bCs/>
          <w:sz w:val="24"/>
          <w:szCs w:val="24"/>
        </w:rPr>
      </w:pPr>
    </w:p>
    <w:p w14:paraId="2A3D7548" w14:textId="27138404" w:rsidR="00AA0899" w:rsidRPr="00BD5371" w:rsidRDefault="00AA0899" w:rsidP="00BD5371">
      <w:pPr>
        <w:jc w:val="both"/>
        <w:rPr>
          <w:rFonts w:ascii="Arial" w:hAnsi="Arial" w:cs="Arial"/>
          <w:bCs/>
          <w:sz w:val="24"/>
          <w:szCs w:val="24"/>
        </w:rPr>
      </w:pPr>
      <w:r w:rsidRPr="00BD5371">
        <w:rPr>
          <w:rFonts w:ascii="Arial" w:hAnsi="Arial" w:cs="Arial"/>
          <w:bCs/>
          <w:sz w:val="24"/>
          <w:szCs w:val="24"/>
        </w:rPr>
        <w:t xml:space="preserve">Charity is not considered to be a substitute for personal responsibility. Patients are expected to cooperate with the </w:t>
      </w:r>
      <w:r w:rsidR="0037557E">
        <w:rPr>
          <w:rFonts w:ascii="Arial" w:hAnsi="Arial" w:cs="Arial"/>
          <w:bCs/>
          <w:sz w:val="24"/>
          <w:szCs w:val="24"/>
        </w:rPr>
        <w:t>TCID’s</w:t>
      </w:r>
      <w:r w:rsidRPr="00BD5371">
        <w:rPr>
          <w:rFonts w:ascii="Arial" w:hAnsi="Arial" w:cs="Arial"/>
          <w:bCs/>
          <w:sz w:val="24"/>
          <w:szCs w:val="24"/>
        </w:rPr>
        <w:t xml:space="preserve"> procedures for obtaining charity or other forms of payment or financial assistance, and to contribute to the cost of their care based on their individual ability to pay. Individuals with the financial capacity to purchase health insurance shall be encouraged to do so (Health and Safety Code §1001.081), as a means of assuring access to health care services, for their overall personal health, and for the protection of their individual assets.</w:t>
      </w:r>
    </w:p>
    <w:p w14:paraId="12C90275" w14:textId="77777777" w:rsidR="00AA0899" w:rsidRPr="00BD5371" w:rsidRDefault="00AA0899" w:rsidP="00BD5371">
      <w:pPr>
        <w:jc w:val="both"/>
        <w:rPr>
          <w:rFonts w:ascii="Arial" w:hAnsi="Arial" w:cs="Arial"/>
          <w:bCs/>
          <w:sz w:val="24"/>
          <w:szCs w:val="24"/>
        </w:rPr>
      </w:pPr>
    </w:p>
    <w:p w14:paraId="446FF7EE" w14:textId="4436C06D" w:rsidR="00AA0899" w:rsidRPr="00BD5371" w:rsidRDefault="00AA0899" w:rsidP="00BD5371">
      <w:pPr>
        <w:jc w:val="both"/>
        <w:rPr>
          <w:rFonts w:ascii="Arial" w:hAnsi="Arial" w:cs="Arial"/>
          <w:bCs/>
          <w:sz w:val="24"/>
          <w:szCs w:val="24"/>
        </w:rPr>
      </w:pPr>
      <w:r w:rsidRPr="00BD5371">
        <w:rPr>
          <w:rFonts w:ascii="Arial" w:hAnsi="Arial" w:cs="Arial"/>
          <w:bCs/>
          <w:sz w:val="24"/>
          <w:szCs w:val="24"/>
        </w:rPr>
        <w:t xml:space="preserve">To allow the </w:t>
      </w:r>
      <w:r w:rsidR="0073529C">
        <w:rPr>
          <w:rFonts w:ascii="Arial" w:hAnsi="Arial" w:cs="Arial"/>
          <w:bCs/>
          <w:sz w:val="24"/>
          <w:szCs w:val="24"/>
        </w:rPr>
        <w:t>TCID</w:t>
      </w:r>
      <w:r w:rsidRPr="00BD5371">
        <w:rPr>
          <w:rFonts w:ascii="Arial" w:hAnsi="Arial" w:cs="Arial"/>
          <w:bCs/>
          <w:sz w:val="24"/>
          <w:szCs w:val="24"/>
        </w:rPr>
        <w:t xml:space="preserve"> to provide the appropriate level of assistance to the greatest number of persons in need, the </w:t>
      </w:r>
      <w:r w:rsidR="0073529C">
        <w:rPr>
          <w:rFonts w:ascii="Arial" w:hAnsi="Arial" w:cs="Arial"/>
          <w:bCs/>
          <w:sz w:val="24"/>
          <w:szCs w:val="24"/>
        </w:rPr>
        <w:t>TCID</w:t>
      </w:r>
      <w:r w:rsidRPr="00BD5371">
        <w:rPr>
          <w:rFonts w:ascii="Arial" w:hAnsi="Arial" w:cs="Arial"/>
          <w:bCs/>
          <w:sz w:val="24"/>
          <w:szCs w:val="24"/>
        </w:rPr>
        <w:t xml:space="preserve"> Governing Body establishes the following guidelines for the provision of patient charity.</w:t>
      </w:r>
    </w:p>
    <w:p w14:paraId="4275A68E" w14:textId="77777777" w:rsidR="00AA0899" w:rsidRPr="00BD5371" w:rsidRDefault="00AA0899" w:rsidP="00BD5371">
      <w:pPr>
        <w:pStyle w:val="ListParagraph"/>
        <w:numPr>
          <w:ilvl w:val="0"/>
          <w:numId w:val="28"/>
        </w:numPr>
        <w:spacing w:after="0" w:line="240" w:lineRule="auto"/>
        <w:jc w:val="both"/>
        <w:rPr>
          <w:rFonts w:ascii="Arial" w:eastAsia="Verdana" w:hAnsi="Arial" w:cs="Arial"/>
          <w:sz w:val="24"/>
          <w:szCs w:val="24"/>
        </w:rPr>
      </w:pPr>
      <w:r w:rsidRPr="00BD5371">
        <w:rPr>
          <w:rFonts w:ascii="Arial" w:eastAsia="Verdana" w:hAnsi="Arial" w:cs="Arial"/>
          <w:b/>
          <w:sz w:val="24"/>
          <w:szCs w:val="24"/>
        </w:rPr>
        <w:t>Services Eligible Under This Policy.</w:t>
      </w:r>
      <w:r w:rsidRPr="00BD5371">
        <w:rPr>
          <w:rFonts w:ascii="Arial" w:eastAsia="Verdana" w:hAnsi="Arial" w:cs="Arial"/>
          <w:sz w:val="24"/>
          <w:szCs w:val="24"/>
        </w:rPr>
        <w:t xml:space="preserve"> The following healthcare services are eligible for charity:</w:t>
      </w:r>
    </w:p>
    <w:p w14:paraId="3683732C" w14:textId="21CB2738" w:rsidR="00AA0899" w:rsidRPr="00BD5371" w:rsidRDefault="00AA0899" w:rsidP="00BD5371">
      <w:pPr>
        <w:pStyle w:val="ListParagraph"/>
        <w:numPr>
          <w:ilvl w:val="0"/>
          <w:numId w:val="29"/>
        </w:numPr>
        <w:spacing w:after="0" w:line="240" w:lineRule="auto"/>
        <w:jc w:val="both"/>
        <w:rPr>
          <w:rFonts w:ascii="Arial" w:eastAsia="Verdana" w:hAnsi="Arial" w:cs="Arial"/>
          <w:sz w:val="24"/>
          <w:szCs w:val="24"/>
        </w:rPr>
      </w:pPr>
      <w:r w:rsidRPr="00BD5371">
        <w:rPr>
          <w:rFonts w:ascii="Arial" w:eastAsia="Verdana" w:hAnsi="Arial" w:cs="Arial"/>
          <w:sz w:val="24"/>
          <w:szCs w:val="24"/>
        </w:rPr>
        <w:t xml:space="preserve">Inpatient </w:t>
      </w:r>
      <w:r w:rsidR="0073529C">
        <w:rPr>
          <w:rFonts w:ascii="Arial" w:eastAsia="Verdana" w:hAnsi="Arial" w:cs="Arial"/>
          <w:sz w:val="24"/>
          <w:szCs w:val="24"/>
        </w:rPr>
        <w:t>Tuberculosis</w:t>
      </w:r>
      <w:r w:rsidRPr="00BD5371">
        <w:rPr>
          <w:rFonts w:ascii="Arial" w:eastAsia="Verdana" w:hAnsi="Arial" w:cs="Arial"/>
          <w:sz w:val="24"/>
          <w:szCs w:val="24"/>
        </w:rPr>
        <w:t xml:space="preserve"> services for voluntary and involuntary patients.</w:t>
      </w:r>
    </w:p>
    <w:p w14:paraId="6BE633CD" w14:textId="231FD260" w:rsidR="00AA0899" w:rsidRPr="00BD5371" w:rsidRDefault="00AA0899" w:rsidP="00BD5371">
      <w:pPr>
        <w:pStyle w:val="ListParagraph"/>
        <w:numPr>
          <w:ilvl w:val="0"/>
          <w:numId w:val="29"/>
        </w:numPr>
        <w:spacing w:after="0" w:line="240" w:lineRule="auto"/>
        <w:jc w:val="both"/>
        <w:rPr>
          <w:rFonts w:ascii="Arial" w:eastAsia="Verdana" w:hAnsi="Arial" w:cs="Arial"/>
          <w:sz w:val="24"/>
          <w:szCs w:val="24"/>
        </w:rPr>
      </w:pPr>
      <w:r w:rsidRPr="00BD5371">
        <w:rPr>
          <w:rFonts w:ascii="Arial" w:eastAsia="Verdana" w:hAnsi="Arial" w:cs="Arial"/>
          <w:sz w:val="24"/>
          <w:szCs w:val="24"/>
        </w:rPr>
        <w:t xml:space="preserve">Services for a </w:t>
      </w:r>
      <w:r w:rsidR="0073529C">
        <w:rPr>
          <w:rFonts w:ascii="Arial" w:eastAsia="Verdana" w:hAnsi="Arial" w:cs="Arial"/>
          <w:sz w:val="24"/>
          <w:szCs w:val="24"/>
        </w:rPr>
        <w:t>Tuberculosis diagnosis</w:t>
      </w:r>
      <w:r w:rsidRPr="00BD5371">
        <w:rPr>
          <w:rFonts w:ascii="Arial" w:eastAsia="Verdana" w:hAnsi="Arial" w:cs="Arial"/>
          <w:sz w:val="24"/>
          <w:szCs w:val="24"/>
        </w:rPr>
        <w:t xml:space="preserve"> which, if not promptly treated, would lead to an adverse change in the health status of an individual;</w:t>
      </w:r>
    </w:p>
    <w:p w14:paraId="795E30FC" w14:textId="77777777" w:rsidR="00AA0899" w:rsidRPr="0073753F" w:rsidRDefault="00AA0899" w:rsidP="00BD5371">
      <w:pPr>
        <w:pStyle w:val="ListParagraph"/>
        <w:numPr>
          <w:ilvl w:val="0"/>
          <w:numId w:val="29"/>
        </w:numPr>
        <w:spacing w:after="0" w:line="240" w:lineRule="auto"/>
        <w:jc w:val="both"/>
        <w:rPr>
          <w:rFonts w:ascii="Arial" w:eastAsia="Verdana" w:hAnsi="Arial" w:cs="Arial"/>
          <w:color w:val="0D0D0D" w:themeColor="text1" w:themeTint="F2"/>
          <w:sz w:val="24"/>
          <w:szCs w:val="24"/>
        </w:rPr>
      </w:pPr>
      <w:r w:rsidRPr="0073753F">
        <w:rPr>
          <w:rFonts w:ascii="Arial" w:eastAsia="Verdana" w:hAnsi="Arial" w:cs="Arial"/>
          <w:color w:val="0D0D0D" w:themeColor="text1" w:themeTint="F2"/>
          <w:sz w:val="24"/>
          <w:szCs w:val="24"/>
        </w:rPr>
        <w:t xml:space="preserve">All necessary medical and dental services while receiving inpatient psychiatric care and treatment pursuant to Health and Safety Code §551.041. </w:t>
      </w:r>
    </w:p>
    <w:p w14:paraId="2D8A3AF2" w14:textId="77777777" w:rsidR="00AA0899" w:rsidRPr="00BD5371" w:rsidRDefault="00AA0899" w:rsidP="00BD5371">
      <w:pPr>
        <w:pStyle w:val="ListParagraph"/>
        <w:jc w:val="both"/>
        <w:rPr>
          <w:rFonts w:ascii="Arial" w:eastAsia="Verdana" w:hAnsi="Arial" w:cs="Arial"/>
          <w:sz w:val="24"/>
          <w:szCs w:val="24"/>
        </w:rPr>
      </w:pPr>
    </w:p>
    <w:p w14:paraId="2B041215" w14:textId="282992D5" w:rsidR="00AA0899" w:rsidRDefault="00AA0899" w:rsidP="00BD5371">
      <w:pPr>
        <w:pStyle w:val="ListParagraph"/>
        <w:numPr>
          <w:ilvl w:val="0"/>
          <w:numId w:val="28"/>
        </w:numPr>
        <w:spacing w:after="0" w:line="240" w:lineRule="auto"/>
        <w:jc w:val="both"/>
        <w:rPr>
          <w:rFonts w:ascii="Arial" w:eastAsia="Verdana" w:hAnsi="Arial" w:cs="Arial"/>
          <w:sz w:val="24"/>
          <w:szCs w:val="24"/>
        </w:rPr>
      </w:pPr>
      <w:r w:rsidRPr="00BD5371">
        <w:rPr>
          <w:rFonts w:ascii="Arial" w:eastAsia="Verdana" w:hAnsi="Arial" w:cs="Arial"/>
          <w:b/>
          <w:sz w:val="24"/>
          <w:szCs w:val="24"/>
        </w:rPr>
        <w:t>Eligibility for Charity.</w:t>
      </w:r>
      <w:r w:rsidRPr="00BD5371">
        <w:rPr>
          <w:rFonts w:ascii="Arial" w:eastAsia="Verdana" w:hAnsi="Arial" w:cs="Arial"/>
          <w:sz w:val="24"/>
          <w:szCs w:val="24"/>
        </w:rPr>
        <w:t xml:space="preserve"> Eligibility for charity will be considered for those individuals who are uninsured, underinsured, ineligible for any government health care benefit program, and who are unable to pay for their care, based upon a determination of financial need in accordance with this Policy. The granting of charity shall be based on an individualized determination of financial need, and shall not </w:t>
      </w:r>
      <w:proofErr w:type="gramStart"/>
      <w:r w:rsidRPr="00BD5371">
        <w:rPr>
          <w:rFonts w:ascii="Arial" w:eastAsia="Verdana" w:hAnsi="Arial" w:cs="Arial"/>
          <w:sz w:val="24"/>
          <w:szCs w:val="24"/>
        </w:rPr>
        <w:t>take into account</w:t>
      </w:r>
      <w:proofErr w:type="gramEnd"/>
      <w:r w:rsidRPr="00BD5371">
        <w:rPr>
          <w:rFonts w:ascii="Arial" w:eastAsia="Verdana" w:hAnsi="Arial" w:cs="Arial"/>
          <w:sz w:val="24"/>
          <w:szCs w:val="24"/>
        </w:rPr>
        <w:t xml:space="preserve"> age, gender, race, social or immigrant status, sexual orientation or religious affiliation. </w:t>
      </w:r>
    </w:p>
    <w:p w14:paraId="5DF2C6F9" w14:textId="77777777" w:rsidR="000F2644" w:rsidRPr="00BD5371" w:rsidRDefault="000F2644" w:rsidP="000F2644">
      <w:pPr>
        <w:pStyle w:val="ListParagraph"/>
        <w:spacing w:after="0" w:line="240" w:lineRule="auto"/>
        <w:ind w:left="360"/>
        <w:jc w:val="both"/>
        <w:rPr>
          <w:rFonts w:ascii="Arial" w:eastAsia="Verdana" w:hAnsi="Arial" w:cs="Arial"/>
          <w:sz w:val="24"/>
          <w:szCs w:val="24"/>
        </w:rPr>
      </w:pPr>
    </w:p>
    <w:p w14:paraId="7D3444ED" w14:textId="77777777" w:rsidR="00AA0899" w:rsidRPr="00BD5371" w:rsidRDefault="00AA0899" w:rsidP="00BD5371">
      <w:pPr>
        <w:pStyle w:val="ListParagraph"/>
        <w:numPr>
          <w:ilvl w:val="0"/>
          <w:numId w:val="28"/>
        </w:numPr>
        <w:spacing w:after="0" w:line="240" w:lineRule="auto"/>
        <w:jc w:val="both"/>
        <w:rPr>
          <w:rFonts w:ascii="Arial" w:eastAsia="Verdana" w:hAnsi="Arial" w:cs="Arial"/>
          <w:b/>
          <w:sz w:val="24"/>
          <w:szCs w:val="24"/>
        </w:rPr>
      </w:pPr>
      <w:r w:rsidRPr="00BD5371">
        <w:rPr>
          <w:rFonts w:ascii="Arial" w:eastAsia="Verdana" w:hAnsi="Arial" w:cs="Arial"/>
          <w:b/>
          <w:sz w:val="24"/>
          <w:szCs w:val="24"/>
        </w:rPr>
        <w:t>Method by Which Patients May Apply for Charity Care.</w:t>
      </w:r>
    </w:p>
    <w:p w14:paraId="62D16AB2" w14:textId="77777777" w:rsidR="00AA0899" w:rsidRPr="00BD5371" w:rsidRDefault="00AA0899" w:rsidP="00BD5371">
      <w:pPr>
        <w:pStyle w:val="ListParagraph"/>
        <w:numPr>
          <w:ilvl w:val="0"/>
          <w:numId w:val="32"/>
        </w:numPr>
        <w:spacing w:after="0" w:line="240" w:lineRule="auto"/>
        <w:jc w:val="both"/>
        <w:rPr>
          <w:rFonts w:ascii="Arial" w:eastAsia="Verdana" w:hAnsi="Arial" w:cs="Arial"/>
          <w:b/>
          <w:sz w:val="24"/>
          <w:szCs w:val="24"/>
        </w:rPr>
      </w:pPr>
      <w:r w:rsidRPr="00BD5371">
        <w:rPr>
          <w:rFonts w:ascii="Arial" w:eastAsia="Verdana" w:hAnsi="Arial" w:cs="Arial"/>
          <w:sz w:val="24"/>
          <w:szCs w:val="24"/>
        </w:rPr>
        <w:t>Financial need will be determined in accordance with procedures that involve an individual assessment of financial need; and may</w:t>
      </w:r>
    </w:p>
    <w:p w14:paraId="16F70CDA" w14:textId="77777777" w:rsidR="00AA0899" w:rsidRPr="00BD5371" w:rsidRDefault="00AA0899" w:rsidP="00BD5371">
      <w:pPr>
        <w:pStyle w:val="ListParagraph"/>
        <w:numPr>
          <w:ilvl w:val="1"/>
          <w:numId w:val="28"/>
        </w:numPr>
        <w:spacing w:after="0" w:line="240" w:lineRule="auto"/>
        <w:jc w:val="both"/>
        <w:rPr>
          <w:rFonts w:ascii="Arial" w:eastAsia="Verdana" w:hAnsi="Arial" w:cs="Arial"/>
          <w:b/>
          <w:sz w:val="24"/>
          <w:szCs w:val="24"/>
        </w:rPr>
      </w:pPr>
      <w:r w:rsidRPr="00BD5371">
        <w:rPr>
          <w:rFonts w:ascii="Arial" w:eastAsia="Verdana" w:hAnsi="Arial" w:cs="Arial"/>
          <w:sz w:val="24"/>
          <w:szCs w:val="24"/>
        </w:rPr>
        <w:t xml:space="preserve">Include an application process, in which the patient or the patient’s guarantor are required to cooperate and supply personal, financial and other information and documentation relevant to making a determination of financial </w:t>
      </w:r>
      <w:proofErr w:type="gramStart"/>
      <w:r w:rsidRPr="00BD5371">
        <w:rPr>
          <w:rFonts w:ascii="Arial" w:eastAsia="Verdana" w:hAnsi="Arial" w:cs="Arial"/>
          <w:sz w:val="24"/>
          <w:szCs w:val="24"/>
        </w:rPr>
        <w:t>need;</w:t>
      </w:r>
      <w:proofErr w:type="gramEnd"/>
      <w:r w:rsidRPr="00BD5371">
        <w:rPr>
          <w:rFonts w:ascii="Arial" w:eastAsia="Verdana" w:hAnsi="Arial" w:cs="Arial"/>
          <w:sz w:val="24"/>
          <w:szCs w:val="24"/>
        </w:rPr>
        <w:t xml:space="preserve"> </w:t>
      </w:r>
    </w:p>
    <w:p w14:paraId="1EB4C709" w14:textId="77777777" w:rsidR="00AA0899" w:rsidRPr="00BD5371" w:rsidRDefault="00AA0899" w:rsidP="00BD5371">
      <w:pPr>
        <w:pStyle w:val="ListParagraph"/>
        <w:numPr>
          <w:ilvl w:val="1"/>
          <w:numId w:val="28"/>
        </w:numPr>
        <w:spacing w:after="0" w:line="240" w:lineRule="auto"/>
        <w:jc w:val="both"/>
        <w:rPr>
          <w:rFonts w:ascii="Arial" w:eastAsia="Verdana" w:hAnsi="Arial" w:cs="Arial"/>
          <w:b/>
          <w:sz w:val="24"/>
          <w:szCs w:val="24"/>
        </w:rPr>
      </w:pPr>
      <w:r w:rsidRPr="00BD5371">
        <w:rPr>
          <w:rFonts w:ascii="Arial" w:eastAsia="Verdana" w:hAnsi="Arial" w:cs="Arial"/>
          <w:sz w:val="24"/>
          <w:szCs w:val="24"/>
        </w:rPr>
        <w:t xml:space="preserve">Include the use of external publicly available data sources that provide information on a patient’s or a patient’s guarantor’s ability to pay (such as credit scoring); </w:t>
      </w:r>
    </w:p>
    <w:p w14:paraId="184474D2" w14:textId="50112775" w:rsidR="00AA0899" w:rsidRPr="00BD5371" w:rsidRDefault="00AA0899" w:rsidP="00BD5371">
      <w:pPr>
        <w:pStyle w:val="ListParagraph"/>
        <w:numPr>
          <w:ilvl w:val="1"/>
          <w:numId w:val="28"/>
        </w:numPr>
        <w:spacing w:after="0" w:line="240" w:lineRule="auto"/>
        <w:jc w:val="both"/>
        <w:rPr>
          <w:rFonts w:ascii="Arial" w:eastAsia="Verdana" w:hAnsi="Arial" w:cs="Arial"/>
          <w:b/>
          <w:sz w:val="24"/>
          <w:szCs w:val="24"/>
        </w:rPr>
      </w:pPr>
      <w:r w:rsidRPr="00BD5371">
        <w:rPr>
          <w:rFonts w:ascii="Arial" w:eastAsia="Verdana" w:hAnsi="Arial" w:cs="Arial"/>
          <w:sz w:val="24"/>
          <w:szCs w:val="24"/>
        </w:rPr>
        <w:t xml:space="preserve">Include reasonable efforts by </w:t>
      </w:r>
      <w:r w:rsidR="000F2644">
        <w:rPr>
          <w:rFonts w:ascii="Arial" w:eastAsia="Verdana" w:hAnsi="Arial" w:cs="Arial"/>
          <w:sz w:val="24"/>
          <w:szCs w:val="24"/>
        </w:rPr>
        <w:t>TCID</w:t>
      </w:r>
      <w:r w:rsidRPr="00BD5371">
        <w:rPr>
          <w:rFonts w:ascii="Arial" w:eastAsia="Verdana" w:hAnsi="Arial" w:cs="Arial"/>
          <w:sz w:val="24"/>
          <w:szCs w:val="24"/>
        </w:rPr>
        <w:t xml:space="preserve"> staff to explore appropriate alternative sources of payment and coverage from public and private payment programs, and to assist patients to apply for such programs;</w:t>
      </w:r>
    </w:p>
    <w:p w14:paraId="154259E2" w14:textId="77777777" w:rsidR="00AA0899" w:rsidRPr="00BD5371" w:rsidRDefault="00AA0899" w:rsidP="00BD5371">
      <w:pPr>
        <w:pStyle w:val="ListParagraph"/>
        <w:numPr>
          <w:ilvl w:val="1"/>
          <w:numId w:val="28"/>
        </w:numPr>
        <w:spacing w:after="0" w:line="240" w:lineRule="auto"/>
        <w:jc w:val="both"/>
        <w:rPr>
          <w:rFonts w:ascii="Arial" w:eastAsia="Verdana" w:hAnsi="Arial" w:cs="Arial"/>
          <w:b/>
          <w:sz w:val="24"/>
          <w:szCs w:val="24"/>
        </w:rPr>
      </w:pPr>
      <w:r w:rsidRPr="00BD5371">
        <w:rPr>
          <w:rFonts w:ascii="Arial" w:eastAsia="Verdana" w:hAnsi="Arial" w:cs="Arial"/>
          <w:sz w:val="24"/>
          <w:szCs w:val="24"/>
        </w:rPr>
        <w:t>Review and assess the patient’s available assets, and all other financial resources available to the patient; and</w:t>
      </w:r>
    </w:p>
    <w:p w14:paraId="2D7EF26B" w14:textId="77777777" w:rsidR="00AA0899" w:rsidRPr="00BD5371" w:rsidRDefault="00AA0899" w:rsidP="00BD5371">
      <w:pPr>
        <w:pStyle w:val="ListParagraph"/>
        <w:numPr>
          <w:ilvl w:val="1"/>
          <w:numId w:val="28"/>
        </w:numPr>
        <w:spacing w:after="0" w:line="240" w:lineRule="auto"/>
        <w:jc w:val="both"/>
        <w:rPr>
          <w:rFonts w:ascii="Arial" w:eastAsia="Verdana" w:hAnsi="Arial" w:cs="Arial"/>
          <w:b/>
          <w:sz w:val="24"/>
          <w:szCs w:val="24"/>
        </w:rPr>
      </w:pPr>
      <w:r w:rsidRPr="00BD5371">
        <w:rPr>
          <w:rFonts w:ascii="Arial" w:eastAsia="Verdana" w:hAnsi="Arial" w:cs="Arial"/>
          <w:sz w:val="24"/>
          <w:szCs w:val="24"/>
        </w:rPr>
        <w:t>Include a review of the patient’s outstanding accounts receivable for prior services rendered and the patient’s payment history.</w:t>
      </w:r>
    </w:p>
    <w:p w14:paraId="7A26B900" w14:textId="77777777" w:rsidR="00AA0899" w:rsidRPr="00BD5371" w:rsidRDefault="00AA0899" w:rsidP="00BD5371">
      <w:pPr>
        <w:pStyle w:val="ListParagraph"/>
        <w:ind w:left="1080"/>
        <w:jc w:val="both"/>
        <w:rPr>
          <w:rFonts w:ascii="Arial" w:eastAsia="Verdana" w:hAnsi="Arial" w:cs="Arial"/>
          <w:b/>
          <w:sz w:val="24"/>
          <w:szCs w:val="24"/>
        </w:rPr>
      </w:pPr>
    </w:p>
    <w:p w14:paraId="60F876B7" w14:textId="19ACE6BA" w:rsidR="00AA0899" w:rsidRDefault="00AA0899" w:rsidP="00BD5371">
      <w:pPr>
        <w:pStyle w:val="ListParagraph"/>
        <w:numPr>
          <w:ilvl w:val="0"/>
          <w:numId w:val="32"/>
        </w:numPr>
        <w:spacing w:after="0" w:line="240" w:lineRule="auto"/>
        <w:jc w:val="both"/>
        <w:rPr>
          <w:rFonts w:ascii="Arial" w:eastAsia="Verdana" w:hAnsi="Arial" w:cs="Arial"/>
          <w:sz w:val="24"/>
          <w:szCs w:val="24"/>
        </w:rPr>
      </w:pPr>
      <w:r w:rsidRPr="00BD5371">
        <w:rPr>
          <w:rFonts w:ascii="Arial" w:eastAsia="Verdana" w:hAnsi="Arial" w:cs="Arial"/>
          <w:sz w:val="24"/>
          <w:szCs w:val="24"/>
        </w:rPr>
        <w:t>It is preferred but not required that a request for charity and a determination of financial need occur prior to rendering of nonemergent medically necessary services. However, the determination may be done at any point in the collection cycle. The need for financial assistance shall be re-evaluated at each subsequent time of services if the last financial evaluation was completed more than a year prior, or at any time additional information relevant to the eligibility of the patient for charity becomes known</w:t>
      </w:r>
      <w:r w:rsidR="000F2644">
        <w:rPr>
          <w:rFonts w:ascii="Arial" w:eastAsia="Verdana" w:hAnsi="Arial" w:cs="Arial"/>
          <w:sz w:val="24"/>
          <w:szCs w:val="24"/>
        </w:rPr>
        <w:t>.</w:t>
      </w:r>
    </w:p>
    <w:p w14:paraId="191C3222" w14:textId="77777777" w:rsidR="000F2644" w:rsidRPr="00BD5371" w:rsidRDefault="000F2644" w:rsidP="000F2644">
      <w:pPr>
        <w:pStyle w:val="ListParagraph"/>
        <w:spacing w:after="0" w:line="240" w:lineRule="auto"/>
        <w:jc w:val="both"/>
        <w:rPr>
          <w:rFonts w:ascii="Arial" w:eastAsia="Verdana" w:hAnsi="Arial" w:cs="Arial"/>
          <w:sz w:val="24"/>
          <w:szCs w:val="24"/>
        </w:rPr>
      </w:pPr>
    </w:p>
    <w:p w14:paraId="6FEEB8D2" w14:textId="28A870B4" w:rsidR="00AA0899" w:rsidRPr="00BD5371" w:rsidRDefault="00AA0899" w:rsidP="00BD5371">
      <w:pPr>
        <w:pStyle w:val="ListParagraph"/>
        <w:numPr>
          <w:ilvl w:val="0"/>
          <w:numId w:val="28"/>
        </w:numPr>
        <w:spacing w:after="0" w:line="240" w:lineRule="auto"/>
        <w:jc w:val="both"/>
        <w:rPr>
          <w:rFonts w:ascii="Arial" w:eastAsia="Verdana" w:hAnsi="Arial" w:cs="Arial"/>
          <w:sz w:val="24"/>
          <w:szCs w:val="24"/>
        </w:rPr>
      </w:pPr>
      <w:r w:rsidRPr="00BD5371">
        <w:rPr>
          <w:rFonts w:ascii="Arial" w:eastAsia="Verdana" w:hAnsi="Arial" w:cs="Arial"/>
          <w:b/>
          <w:sz w:val="24"/>
          <w:szCs w:val="24"/>
        </w:rPr>
        <w:t>Presumptive Financial Assistance Eligibility.</w:t>
      </w:r>
      <w:r w:rsidRPr="00BD5371">
        <w:rPr>
          <w:rFonts w:ascii="Arial" w:eastAsia="Verdana" w:hAnsi="Arial" w:cs="Arial"/>
          <w:sz w:val="24"/>
          <w:szCs w:val="24"/>
        </w:rPr>
        <w:t xml:space="preserve"> </w:t>
      </w:r>
    </w:p>
    <w:p w14:paraId="3435373E" w14:textId="7479CF88" w:rsidR="00AA0899" w:rsidRPr="00BD5371" w:rsidRDefault="00AA0899" w:rsidP="00BD5371">
      <w:pPr>
        <w:pStyle w:val="ListParagraph"/>
        <w:ind w:left="360"/>
        <w:jc w:val="both"/>
        <w:rPr>
          <w:rFonts w:ascii="Arial" w:eastAsia="Verdana" w:hAnsi="Arial" w:cs="Arial"/>
          <w:sz w:val="24"/>
          <w:szCs w:val="24"/>
        </w:rPr>
      </w:pPr>
      <w:r w:rsidRPr="00BD5371">
        <w:rPr>
          <w:rFonts w:ascii="Arial" w:eastAsia="Verdana" w:hAnsi="Arial" w:cs="Arial"/>
          <w:sz w:val="24"/>
          <w:szCs w:val="24"/>
        </w:rPr>
        <w:t xml:space="preserve">There are instances when a patient may appear eligible for charity care discounts, but there is no financial assistance form on file due to a lack of supporting documentation or inability to complete the interview based on the patient’s condition at the time of admission. Often there is adequate information provided by the patient or through other sources, which could provide sufficient evidence to provide the patient with charity care assistance. In the event there is no evidence to support a patient’s eligibility for charity care, </w:t>
      </w:r>
      <w:r w:rsidR="000F2644">
        <w:rPr>
          <w:rFonts w:ascii="Arial" w:eastAsia="Verdana" w:hAnsi="Arial" w:cs="Arial"/>
          <w:sz w:val="24"/>
          <w:szCs w:val="24"/>
        </w:rPr>
        <w:t>TCID</w:t>
      </w:r>
      <w:r w:rsidRPr="00BD5371">
        <w:rPr>
          <w:rFonts w:ascii="Arial" w:eastAsia="Verdana" w:hAnsi="Arial" w:cs="Arial"/>
          <w:sz w:val="24"/>
          <w:szCs w:val="24"/>
        </w:rPr>
        <w:t xml:space="preserve"> could use outside agencies in determining estimate income amounts for the basis of determining charity care eligibility and potential discount amounts. Once determined, due to the inherent nature of the presumptive circumstances, the only discount that can be granted is a 100% write </w:t>
      </w:r>
      <w:proofErr w:type="gramStart"/>
      <w:r w:rsidRPr="00BD5371">
        <w:rPr>
          <w:rFonts w:ascii="Arial" w:eastAsia="Verdana" w:hAnsi="Arial" w:cs="Arial"/>
          <w:sz w:val="24"/>
          <w:szCs w:val="24"/>
        </w:rPr>
        <w:t>off of</w:t>
      </w:r>
      <w:proofErr w:type="gramEnd"/>
      <w:r w:rsidRPr="00BD5371">
        <w:rPr>
          <w:rFonts w:ascii="Arial" w:eastAsia="Verdana" w:hAnsi="Arial" w:cs="Arial"/>
          <w:sz w:val="24"/>
          <w:szCs w:val="24"/>
        </w:rPr>
        <w:t xml:space="preserve"> the account balance. Presumptive eligibility may be determined </w:t>
      </w:r>
      <w:proofErr w:type="gramStart"/>
      <w:r w:rsidRPr="00BD5371">
        <w:rPr>
          <w:rFonts w:ascii="Arial" w:eastAsia="Verdana" w:hAnsi="Arial" w:cs="Arial"/>
          <w:sz w:val="24"/>
          <w:szCs w:val="24"/>
        </w:rPr>
        <w:t>on the basis of</w:t>
      </w:r>
      <w:proofErr w:type="gramEnd"/>
      <w:r w:rsidRPr="00BD5371">
        <w:rPr>
          <w:rFonts w:ascii="Arial" w:eastAsia="Verdana" w:hAnsi="Arial" w:cs="Arial"/>
          <w:sz w:val="24"/>
          <w:szCs w:val="24"/>
        </w:rPr>
        <w:t xml:space="preserve"> individual life circumstances that may include:</w:t>
      </w:r>
    </w:p>
    <w:p w14:paraId="78950F2D" w14:textId="77777777" w:rsidR="00AA0899" w:rsidRPr="00BD5371" w:rsidRDefault="00AA0899" w:rsidP="00BD5371">
      <w:pPr>
        <w:pStyle w:val="ListParagraph"/>
        <w:numPr>
          <w:ilvl w:val="0"/>
          <w:numId w:val="33"/>
        </w:numPr>
        <w:spacing w:after="0" w:line="240" w:lineRule="auto"/>
        <w:jc w:val="both"/>
        <w:rPr>
          <w:rFonts w:ascii="Arial" w:eastAsia="Verdana" w:hAnsi="Arial" w:cs="Arial"/>
          <w:sz w:val="24"/>
          <w:szCs w:val="24"/>
        </w:rPr>
      </w:pPr>
      <w:r w:rsidRPr="00BD5371">
        <w:rPr>
          <w:rFonts w:ascii="Arial" w:eastAsia="Verdana" w:hAnsi="Arial" w:cs="Arial"/>
          <w:sz w:val="24"/>
          <w:szCs w:val="24"/>
        </w:rPr>
        <w:t xml:space="preserve">State-funded prescription programs; </w:t>
      </w:r>
    </w:p>
    <w:p w14:paraId="0C2FD9EB" w14:textId="77777777" w:rsidR="00AA0899" w:rsidRPr="00BD5371" w:rsidRDefault="00AA0899" w:rsidP="00BD5371">
      <w:pPr>
        <w:pStyle w:val="ListParagraph"/>
        <w:numPr>
          <w:ilvl w:val="0"/>
          <w:numId w:val="33"/>
        </w:numPr>
        <w:spacing w:after="0" w:line="240" w:lineRule="auto"/>
        <w:jc w:val="both"/>
        <w:rPr>
          <w:rFonts w:ascii="Arial" w:eastAsia="Verdana" w:hAnsi="Arial" w:cs="Arial"/>
          <w:sz w:val="24"/>
          <w:szCs w:val="24"/>
        </w:rPr>
      </w:pPr>
      <w:r w:rsidRPr="00BD5371">
        <w:rPr>
          <w:rFonts w:ascii="Arial" w:eastAsia="Verdana" w:hAnsi="Arial" w:cs="Arial"/>
          <w:sz w:val="24"/>
          <w:szCs w:val="24"/>
        </w:rPr>
        <w:t>Homeless or received care from a homeless clinic</w:t>
      </w:r>
    </w:p>
    <w:p w14:paraId="012F3D6A" w14:textId="5D8EFF29" w:rsidR="00AA0899" w:rsidRPr="00BD5371" w:rsidRDefault="00AA0899" w:rsidP="00BD5371">
      <w:pPr>
        <w:pStyle w:val="ListParagraph"/>
        <w:numPr>
          <w:ilvl w:val="0"/>
          <w:numId w:val="33"/>
        </w:numPr>
        <w:spacing w:after="0" w:line="240" w:lineRule="auto"/>
        <w:jc w:val="both"/>
        <w:rPr>
          <w:rFonts w:ascii="Arial" w:eastAsia="Verdana" w:hAnsi="Arial" w:cs="Arial"/>
          <w:sz w:val="24"/>
          <w:szCs w:val="24"/>
        </w:rPr>
      </w:pPr>
      <w:r w:rsidRPr="00BD5371">
        <w:rPr>
          <w:rFonts w:ascii="Arial" w:eastAsia="Verdana" w:hAnsi="Arial" w:cs="Arial"/>
          <w:sz w:val="24"/>
          <w:szCs w:val="24"/>
        </w:rPr>
        <w:t>Participation in Women, Infants and Children programs (WIC);</w:t>
      </w:r>
    </w:p>
    <w:p w14:paraId="0C53B5EC" w14:textId="77777777" w:rsidR="00AA0899" w:rsidRPr="00BD5371" w:rsidRDefault="00AA0899" w:rsidP="00BD5371">
      <w:pPr>
        <w:pStyle w:val="ListParagraph"/>
        <w:numPr>
          <w:ilvl w:val="0"/>
          <w:numId w:val="33"/>
        </w:numPr>
        <w:spacing w:after="0" w:line="240" w:lineRule="auto"/>
        <w:jc w:val="both"/>
        <w:rPr>
          <w:rFonts w:ascii="Arial" w:eastAsia="Verdana" w:hAnsi="Arial" w:cs="Arial"/>
          <w:sz w:val="24"/>
          <w:szCs w:val="24"/>
        </w:rPr>
      </w:pPr>
      <w:r w:rsidRPr="00BD5371">
        <w:rPr>
          <w:rFonts w:ascii="Arial" w:eastAsia="Verdana" w:hAnsi="Arial" w:cs="Arial"/>
          <w:sz w:val="24"/>
          <w:szCs w:val="24"/>
        </w:rPr>
        <w:t>Food stamp eligibility;</w:t>
      </w:r>
    </w:p>
    <w:p w14:paraId="0276CADF" w14:textId="77777777" w:rsidR="00AA0899" w:rsidRPr="00BD5371" w:rsidRDefault="00AA0899" w:rsidP="00BD5371">
      <w:pPr>
        <w:pStyle w:val="ListParagraph"/>
        <w:numPr>
          <w:ilvl w:val="0"/>
          <w:numId w:val="33"/>
        </w:numPr>
        <w:spacing w:after="0" w:line="240" w:lineRule="auto"/>
        <w:jc w:val="both"/>
        <w:rPr>
          <w:rFonts w:ascii="Arial" w:eastAsia="Verdana" w:hAnsi="Arial" w:cs="Arial"/>
          <w:sz w:val="24"/>
          <w:szCs w:val="24"/>
        </w:rPr>
      </w:pPr>
      <w:r w:rsidRPr="00BD5371">
        <w:rPr>
          <w:rFonts w:ascii="Arial" w:eastAsia="Verdana" w:hAnsi="Arial" w:cs="Arial"/>
          <w:sz w:val="24"/>
          <w:szCs w:val="24"/>
        </w:rPr>
        <w:t>Subsidized school lunch program eligibility;</w:t>
      </w:r>
    </w:p>
    <w:p w14:paraId="22518B77" w14:textId="77777777" w:rsidR="00AA0899" w:rsidRPr="00BD5371" w:rsidRDefault="00AA0899" w:rsidP="00BD5371">
      <w:pPr>
        <w:pStyle w:val="ListParagraph"/>
        <w:numPr>
          <w:ilvl w:val="0"/>
          <w:numId w:val="33"/>
        </w:numPr>
        <w:spacing w:after="0" w:line="240" w:lineRule="auto"/>
        <w:jc w:val="both"/>
        <w:rPr>
          <w:rFonts w:ascii="Arial" w:eastAsia="Verdana" w:hAnsi="Arial" w:cs="Arial"/>
          <w:sz w:val="24"/>
          <w:szCs w:val="24"/>
        </w:rPr>
      </w:pPr>
      <w:r w:rsidRPr="00BD5371">
        <w:rPr>
          <w:rFonts w:ascii="Arial" w:eastAsia="Verdana" w:hAnsi="Arial" w:cs="Arial"/>
          <w:sz w:val="24"/>
          <w:szCs w:val="24"/>
        </w:rPr>
        <w:t>Eligibility for other state or local assistance programs that are unfunded (e.g., Medicaid spend-down);</w:t>
      </w:r>
    </w:p>
    <w:p w14:paraId="2D602A24" w14:textId="77777777" w:rsidR="00AA0899" w:rsidRPr="00BD5371" w:rsidRDefault="00AA0899" w:rsidP="00BD5371">
      <w:pPr>
        <w:pStyle w:val="ListParagraph"/>
        <w:numPr>
          <w:ilvl w:val="0"/>
          <w:numId w:val="33"/>
        </w:numPr>
        <w:spacing w:after="0" w:line="240" w:lineRule="auto"/>
        <w:jc w:val="both"/>
        <w:rPr>
          <w:rFonts w:ascii="Arial" w:eastAsia="Verdana" w:hAnsi="Arial" w:cs="Arial"/>
          <w:sz w:val="24"/>
          <w:szCs w:val="24"/>
        </w:rPr>
      </w:pPr>
      <w:r w:rsidRPr="00BD5371">
        <w:rPr>
          <w:rFonts w:ascii="Arial" w:eastAsia="Verdana" w:hAnsi="Arial" w:cs="Arial"/>
          <w:sz w:val="24"/>
          <w:szCs w:val="24"/>
        </w:rPr>
        <w:t>Low income/subsidized housing is provided as a valid address; and</w:t>
      </w:r>
    </w:p>
    <w:p w14:paraId="40C808F3" w14:textId="550C315C" w:rsidR="00AA0899" w:rsidRPr="00BD5371" w:rsidRDefault="00AA0899" w:rsidP="00BD5371">
      <w:pPr>
        <w:pStyle w:val="ListParagraph"/>
        <w:spacing w:after="0" w:line="240" w:lineRule="auto"/>
        <w:ind w:left="360"/>
        <w:jc w:val="both"/>
        <w:rPr>
          <w:rFonts w:ascii="Arial" w:eastAsia="Verdana" w:hAnsi="Arial" w:cs="Arial"/>
          <w:sz w:val="24"/>
          <w:szCs w:val="24"/>
        </w:rPr>
      </w:pPr>
      <w:r w:rsidRPr="00BD5371">
        <w:rPr>
          <w:rFonts w:ascii="Arial" w:eastAsia="Verdana" w:hAnsi="Arial" w:cs="Arial"/>
          <w:sz w:val="24"/>
          <w:szCs w:val="24"/>
        </w:rPr>
        <w:t>Patient is deceased with no known estate.</w:t>
      </w:r>
    </w:p>
    <w:p w14:paraId="4FCE8384" w14:textId="77777777" w:rsidR="00AA0899" w:rsidRPr="00BD5371" w:rsidRDefault="00AA0899" w:rsidP="00BD5371">
      <w:pPr>
        <w:pStyle w:val="ListParagraph"/>
        <w:spacing w:after="0" w:line="240" w:lineRule="auto"/>
        <w:ind w:left="360"/>
        <w:jc w:val="both"/>
        <w:rPr>
          <w:rFonts w:ascii="Arial" w:eastAsia="Verdana" w:hAnsi="Arial" w:cs="Arial"/>
          <w:sz w:val="24"/>
          <w:szCs w:val="24"/>
        </w:rPr>
      </w:pPr>
    </w:p>
    <w:p w14:paraId="0FA1D545" w14:textId="45BEB8E5" w:rsidR="00AA0899" w:rsidRPr="00BD5371" w:rsidRDefault="00AA0899" w:rsidP="00BD5371">
      <w:pPr>
        <w:pStyle w:val="ListParagraph"/>
        <w:numPr>
          <w:ilvl w:val="0"/>
          <w:numId w:val="28"/>
        </w:numPr>
        <w:spacing w:after="0" w:line="240" w:lineRule="auto"/>
        <w:jc w:val="both"/>
        <w:rPr>
          <w:rFonts w:ascii="Arial" w:eastAsia="Verdana" w:hAnsi="Arial" w:cs="Arial"/>
          <w:sz w:val="24"/>
          <w:szCs w:val="24"/>
        </w:rPr>
      </w:pPr>
      <w:r w:rsidRPr="00BD5371">
        <w:rPr>
          <w:rFonts w:ascii="Arial" w:eastAsia="Verdana" w:hAnsi="Arial" w:cs="Arial"/>
          <w:b/>
          <w:sz w:val="24"/>
          <w:szCs w:val="24"/>
        </w:rPr>
        <w:t xml:space="preserve"> Eligibility Criteria and Amounts Charged to Patients.</w:t>
      </w:r>
      <w:r w:rsidRPr="00BD5371">
        <w:rPr>
          <w:rFonts w:ascii="Arial" w:eastAsia="Verdana" w:hAnsi="Arial" w:cs="Arial"/>
          <w:sz w:val="24"/>
          <w:szCs w:val="24"/>
        </w:rPr>
        <w:t xml:space="preserve"> </w:t>
      </w:r>
    </w:p>
    <w:p w14:paraId="4E7F72BC" w14:textId="2A681469" w:rsidR="00AA0899" w:rsidRPr="00BD5371" w:rsidRDefault="00AA0899" w:rsidP="00BD5371">
      <w:pPr>
        <w:pStyle w:val="ListParagraph"/>
        <w:ind w:left="360"/>
        <w:jc w:val="both"/>
        <w:rPr>
          <w:rFonts w:ascii="Arial" w:eastAsia="Verdana" w:hAnsi="Arial" w:cs="Arial"/>
          <w:sz w:val="24"/>
          <w:szCs w:val="24"/>
        </w:rPr>
      </w:pPr>
      <w:r w:rsidRPr="00BD5371">
        <w:rPr>
          <w:rFonts w:ascii="Arial" w:eastAsia="Verdana" w:hAnsi="Arial" w:cs="Arial"/>
          <w:sz w:val="24"/>
          <w:szCs w:val="24"/>
        </w:rPr>
        <w:t xml:space="preserve">The </w:t>
      </w:r>
      <w:r w:rsidR="002462A4">
        <w:rPr>
          <w:rFonts w:ascii="Arial" w:eastAsia="Verdana" w:hAnsi="Arial" w:cs="Arial"/>
          <w:sz w:val="24"/>
          <w:szCs w:val="24"/>
        </w:rPr>
        <w:t>TCID is</w:t>
      </w:r>
      <w:r w:rsidRPr="00BD5371">
        <w:rPr>
          <w:rFonts w:ascii="Arial" w:eastAsia="Verdana" w:hAnsi="Arial" w:cs="Arial"/>
          <w:sz w:val="24"/>
          <w:szCs w:val="24"/>
        </w:rPr>
        <w:t xml:space="preserve"> entitled to reimbursement for the support, maintenance, and treatment (SMT) of a non-indigent patient. Services eligible under this Policy will be made available to the patient on a sliding fee scale, in accordance with financial need, as determined by a financial assessment and an assessment of a patient’s ability to pay. Once a patient has been determined by the </w:t>
      </w:r>
      <w:r w:rsidR="002462A4">
        <w:rPr>
          <w:rFonts w:ascii="Arial" w:eastAsia="Verdana" w:hAnsi="Arial" w:cs="Arial"/>
          <w:sz w:val="24"/>
          <w:szCs w:val="24"/>
        </w:rPr>
        <w:t>TCID</w:t>
      </w:r>
      <w:r w:rsidRPr="00BD5371">
        <w:rPr>
          <w:rFonts w:ascii="Arial" w:eastAsia="Verdana" w:hAnsi="Arial" w:cs="Arial"/>
          <w:sz w:val="24"/>
          <w:szCs w:val="24"/>
        </w:rPr>
        <w:t xml:space="preserve"> to be eligible for financial assistance, that patient shall not receive any future bills based on undiscounted gross charges. The basis for the amounts the </w:t>
      </w:r>
      <w:r w:rsidR="002462A4">
        <w:rPr>
          <w:rFonts w:ascii="Arial" w:eastAsia="Verdana" w:hAnsi="Arial" w:cs="Arial"/>
          <w:sz w:val="24"/>
          <w:szCs w:val="24"/>
        </w:rPr>
        <w:t>TCID</w:t>
      </w:r>
      <w:r w:rsidRPr="00BD5371">
        <w:rPr>
          <w:rFonts w:ascii="Arial" w:eastAsia="Verdana" w:hAnsi="Arial" w:cs="Arial"/>
          <w:sz w:val="24"/>
          <w:szCs w:val="24"/>
        </w:rPr>
        <w:t xml:space="preserve"> will charge patients qualifying for financial assistance is as follows:</w:t>
      </w:r>
    </w:p>
    <w:p w14:paraId="0A6178C2" w14:textId="2997432F" w:rsidR="00AA0899" w:rsidRPr="0073753F" w:rsidRDefault="00AA0899" w:rsidP="00BD5371">
      <w:pPr>
        <w:pStyle w:val="ListParagraph"/>
        <w:numPr>
          <w:ilvl w:val="0"/>
          <w:numId w:val="34"/>
        </w:numPr>
        <w:spacing w:after="0" w:line="240" w:lineRule="auto"/>
        <w:jc w:val="both"/>
        <w:rPr>
          <w:rFonts w:ascii="Arial" w:eastAsia="Verdana" w:hAnsi="Arial" w:cs="Arial"/>
          <w:color w:val="0D0D0D" w:themeColor="text1" w:themeTint="F2"/>
          <w:sz w:val="24"/>
          <w:szCs w:val="24"/>
        </w:rPr>
      </w:pPr>
      <w:r w:rsidRPr="0073753F">
        <w:rPr>
          <w:rFonts w:ascii="Arial" w:eastAsia="Verdana" w:hAnsi="Arial" w:cs="Arial"/>
          <w:color w:val="0D0D0D" w:themeColor="text1" w:themeTint="F2"/>
          <w:sz w:val="24"/>
          <w:szCs w:val="24"/>
        </w:rPr>
        <w:t>The fee(s) for a patient’s SMT is assessed in accordance with Texas Health and Safety Code §</w:t>
      </w:r>
      <w:r w:rsidR="00624948" w:rsidRPr="0073753F">
        <w:rPr>
          <w:rFonts w:ascii="Arial" w:eastAsia="Verdana" w:hAnsi="Arial" w:cs="Arial"/>
          <w:color w:val="0D0D0D" w:themeColor="text1" w:themeTint="F2"/>
          <w:sz w:val="24"/>
          <w:szCs w:val="24"/>
        </w:rPr>
        <w:t>552.012-019</w:t>
      </w:r>
    </w:p>
    <w:p w14:paraId="58625183" w14:textId="77777777" w:rsidR="00AA0899" w:rsidRPr="0073753F" w:rsidRDefault="00AA0899" w:rsidP="00BD5371">
      <w:pPr>
        <w:pStyle w:val="ListParagraph"/>
        <w:numPr>
          <w:ilvl w:val="0"/>
          <w:numId w:val="34"/>
        </w:numPr>
        <w:spacing w:after="0" w:line="240" w:lineRule="auto"/>
        <w:jc w:val="both"/>
        <w:rPr>
          <w:rFonts w:ascii="Arial" w:eastAsia="Verdana" w:hAnsi="Arial" w:cs="Arial"/>
          <w:color w:val="0D0D0D" w:themeColor="text1" w:themeTint="F2"/>
          <w:sz w:val="24"/>
          <w:szCs w:val="24"/>
        </w:rPr>
      </w:pPr>
      <w:r w:rsidRPr="0073753F">
        <w:rPr>
          <w:rFonts w:ascii="Arial" w:eastAsia="Verdana" w:hAnsi="Arial" w:cs="Arial"/>
          <w:color w:val="0D0D0D" w:themeColor="text1" w:themeTint="F2"/>
          <w:sz w:val="24"/>
          <w:szCs w:val="24"/>
        </w:rPr>
        <w:t>Charges shall not exceed the hospital’s current maximum rate.</w:t>
      </w:r>
    </w:p>
    <w:p w14:paraId="4EDE00C8" w14:textId="77777777" w:rsidR="00AA0899" w:rsidRPr="0073753F" w:rsidRDefault="00AA0899" w:rsidP="00BD5371">
      <w:pPr>
        <w:pStyle w:val="ListParagraph"/>
        <w:numPr>
          <w:ilvl w:val="0"/>
          <w:numId w:val="34"/>
        </w:numPr>
        <w:spacing w:after="0" w:line="240" w:lineRule="auto"/>
        <w:jc w:val="both"/>
        <w:rPr>
          <w:rFonts w:ascii="Arial" w:eastAsia="Verdana" w:hAnsi="Arial" w:cs="Arial"/>
          <w:color w:val="0D0D0D" w:themeColor="text1" w:themeTint="F2"/>
          <w:sz w:val="24"/>
          <w:szCs w:val="24"/>
        </w:rPr>
      </w:pPr>
      <w:r w:rsidRPr="0073753F">
        <w:rPr>
          <w:rFonts w:ascii="Arial" w:eastAsia="Verdana" w:hAnsi="Arial" w:cs="Arial"/>
          <w:color w:val="0D0D0D" w:themeColor="text1" w:themeTint="F2"/>
          <w:sz w:val="24"/>
          <w:szCs w:val="24"/>
        </w:rPr>
        <w:t xml:space="preserve">If the person responsible for payments fails to provide financial information upon request, the hospital may assess the maximum rate. </w:t>
      </w:r>
    </w:p>
    <w:p w14:paraId="35D0CB9A" w14:textId="77777777" w:rsidR="00AA0899" w:rsidRPr="0073753F" w:rsidRDefault="00AA0899" w:rsidP="00BD5371">
      <w:pPr>
        <w:pStyle w:val="ListParagraph"/>
        <w:numPr>
          <w:ilvl w:val="0"/>
          <w:numId w:val="34"/>
        </w:numPr>
        <w:spacing w:after="0" w:line="240" w:lineRule="auto"/>
        <w:jc w:val="both"/>
        <w:rPr>
          <w:rFonts w:ascii="Arial" w:eastAsia="Verdana" w:hAnsi="Arial" w:cs="Arial"/>
          <w:color w:val="0D0D0D" w:themeColor="text1" w:themeTint="F2"/>
          <w:sz w:val="24"/>
          <w:szCs w:val="24"/>
        </w:rPr>
      </w:pPr>
      <w:r w:rsidRPr="0073753F">
        <w:rPr>
          <w:rFonts w:ascii="Arial" w:eastAsia="Verdana" w:hAnsi="Arial" w:cs="Arial"/>
          <w:color w:val="0D0D0D" w:themeColor="text1" w:themeTint="F2"/>
          <w:sz w:val="24"/>
          <w:szCs w:val="24"/>
        </w:rPr>
        <w:t xml:space="preserve">25 Texas Administrative Code §417.104(c) provides guidelines for assessing fees for minor patients and §417.104(d) provides guidelines for assessing fees for adult patients of the state hospitals. </w:t>
      </w:r>
    </w:p>
    <w:p w14:paraId="261FAFB5" w14:textId="77777777" w:rsidR="00AA0899" w:rsidRPr="0073753F" w:rsidRDefault="00AA0899" w:rsidP="00BD5371">
      <w:pPr>
        <w:pStyle w:val="ListParagraph"/>
        <w:numPr>
          <w:ilvl w:val="0"/>
          <w:numId w:val="34"/>
        </w:numPr>
        <w:spacing w:after="0" w:line="240" w:lineRule="auto"/>
        <w:jc w:val="both"/>
        <w:rPr>
          <w:rFonts w:ascii="Arial" w:eastAsia="Verdana" w:hAnsi="Arial" w:cs="Arial"/>
          <w:color w:val="0D0D0D" w:themeColor="text1" w:themeTint="F2"/>
          <w:sz w:val="24"/>
          <w:szCs w:val="24"/>
        </w:rPr>
      </w:pPr>
      <w:r w:rsidRPr="0073753F">
        <w:rPr>
          <w:rFonts w:ascii="Arial" w:eastAsia="Verdana" w:hAnsi="Arial" w:cs="Arial"/>
          <w:color w:val="0D0D0D" w:themeColor="text1" w:themeTint="F2"/>
          <w:sz w:val="24"/>
          <w:szCs w:val="24"/>
        </w:rPr>
        <w:t xml:space="preserve">Written notification of the fees that will be assessed is provided to the patient or the person responsible for payment and includes a statement that the person has the right to appeal the assessed fees. </w:t>
      </w:r>
    </w:p>
    <w:p w14:paraId="28A487A6" w14:textId="77777777" w:rsidR="00AA0899" w:rsidRPr="0073753F" w:rsidRDefault="00AA0899" w:rsidP="00BD5371">
      <w:pPr>
        <w:pStyle w:val="ListParagraph"/>
        <w:numPr>
          <w:ilvl w:val="1"/>
          <w:numId w:val="34"/>
        </w:numPr>
        <w:spacing w:after="0" w:line="240" w:lineRule="auto"/>
        <w:ind w:left="1080"/>
        <w:jc w:val="both"/>
        <w:rPr>
          <w:rFonts w:ascii="Arial" w:eastAsia="Verdana" w:hAnsi="Arial" w:cs="Arial"/>
          <w:color w:val="0D0D0D" w:themeColor="text1" w:themeTint="F2"/>
          <w:sz w:val="24"/>
          <w:szCs w:val="24"/>
        </w:rPr>
      </w:pPr>
      <w:r w:rsidRPr="0073753F">
        <w:rPr>
          <w:rFonts w:ascii="Arial" w:eastAsia="Verdana" w:hAnsi="Arial" w:cs="Arial"/>
          <w:color w:val="0D0D0D" w:themeColor="text1" w:themeTint="F2"/>
          <w:sz w:val="24"/>
          <w:szCs w:val="24"/>
        </w:rPr>
        <w:t xml:space="preserve">If all financial information has been completed, the person must notify the SHS hospital of the intent to file an appeal, which must be initiated in accordance with 25 TAC §417.106(c) within 60 calendar days of the notification of charges. </w:t>
      </w:r>
    </w:p>
    <w:p w14:paraId="4AF4BD6D" w14:textId="77777777" w:rsidR="00AA0899" w:rsidRPr="00BD5371" w:rsidRDefault="00AA0899" w:rsidP="00BD5371">
      <w:pPr>
        <w:pStyle w:val="ListParagraph"/>
        <w:numPr>
          <w:ilvl w:val="1"/>
          <w:numId w:val="34"/>
        </w:numPr>
        <w:spacing w:after="0" w:line="240" w:lineRule="auto"/>
        <w:ind w:left="1080"/>
        <w:jc w:val="both"/>
        <w:rPr>
          <w:rFonts w:ascii="Arial" w:eastAsia="Verdana" w:hAnsi="Arial" w:cs="Arial"/>
          <w:sz w:val="24"/>
          <w:szCs w:val="24"/>
        </w:rPr>
      </w:pPr>
      <w:r w:rsidRPr="0073753F">
        <w:rPr>
          <w:rFonts w:ascii="Arial" w:eastAsia="Verdana" w:hAnsi="Arial" w:cs="Arial"/>
          <w:color w:val="0D0D0D" w:themeColor="text1" w:themeTint="F2"/>
          <w:sz w:val="24"/>
          <w:szCs w:val="24"/>
        </w:rPr>
        <w:t xml:space="preserve">If a person has not provided complete financial information, then the person has 15 working days from the date of the notification of charges to provide complete financial information or forfeits the right to appeal. If information is provided within 15 working days, then the person must notify the SHS hospital of the intent to file an appeal, which must be initiated in accordance with 25 TAC §417.106(c) within </w:t>
      </w:r>
      <w:r w:rsidRPr="00BD5371">
        <w:rPr>
          <w:rFonts w:ascii="Arial" w:eastAsia="Verdana" w:hAnsi="Arial" w:cs="Arial"/>
          <w:sz w:val="24"/>
          <w:szCs w:val="24"/>
        </w:rPr>
        <w:t xml:space="preserve">60 calendar days of the notification of charges. </w:t>
      </w:r>
    </w:p>
    <w:p w14:paraId="7061203A" w14:textId="51C38902" w:rsidR="00AA0899" w:rsidRPr="00BD5371" w:rsidRDefault="00AA0899" w:rsidP="00BD5371">
      <w:pPr>
        <w:pStyle w:val="ListParagraph"/>
        <w:numPr>
          <w:ilvl w:val="1"/>
          <w:numId w:val="34"/>
        </w:numPr>
        <w:spacing w:after="0" w:line="240" w:lineRule="auto"/>
        <w:ind w:left="1080"/>
        <w:jc w:val="both"/>
        <w:rPr>
          <w:rFonts w:ascii="Arial" w:eastAsia="Verdana" w:hAnsi="Arial" w:cs="Arial"/>
          <w:sz w:val="24"/>
          <w:szCs w:val="24"/>
        </w:rPr>
      </w:pPr>
      <w:r w:rsidRPr="00BD5371">
        <w:rPr>
          <w:rFonts w:ascii="Arial" w:eastAsia="Verdana" w:hAnsi="Arial" w:cs="Arial"/>
          <w:sz w:val="24"/>
          <w:szCs w:val="24"/>
        </w:rPr>
        <w:t xml:space="preserve">If completed financial information is received within 15 working days of the notification of charges, the SHS hospital has 10 working days to review the information, revise the fee if appropriate, and inform the person in writing the amount of the fee and of the right to appeal. </w:t>
      </w:r>
    </w:p>
    <w:p w14:paraId="44BDDD97" w14:textId="0CBD4597" w:rsidR="00AA0899" w:rsidRPr="00BD5371" w:rsidRDefault="00AA0899" w:rsidP="00BD5371">
      <w:pPr>
        <w:pStyle w:val="ListParagraph"/>
        <w:spacing w:after="0" w:line="240" w:lineRule="auto"/>
        <w:ind w:left="360"/>
        <w:jc w:val="both"/>
        <w:rPr>
          <w:rFonts w:ascii="Arial" w:eastAsia="Verdana" w:hAnsi="Arial" w:cs="Arial"/>
          <w:b/>
          <w:sz w:val="24"/>
          <w:szCs w:val="24"/>
        </w:rPr>
      </w:pPr>
      <w:r w:rsidRPr="00BD5371">
        <w:rPr>
          <w:rFonts w:ascii="Arial" w:eastAsia="Verdana" w:hAnsi="Arial" w:cs="Arial"/>
          <w:sz w:val="24"/>
          <w:szCs w:val="24"/>
        </w:rPr>
        <w:t xml:space="preserve">The </w:t>
      </w:r>
      <w:r w:rsidR="00CA18D1">
        <w:rPr>
          <w:rFonts w:ascii="Arial" w:eastAsia="Verdana" w:hAnsi="Arial" w:cs="Arial"/>
          <w:sz w:val="24"/>
          <w:szCs w:val="24"/>
        </w:rPr>
        <w:t>TCID</w:t>
      </w:r>
      <w:r w:rsidRPr="00BD5371">
        <w:rPr>
          <w:rFonts w:ascii="Arial" w:eastAsia="Verdana" w:hAnsi="Arial" w:cs="Arial"/>
          <w:sz w:val="24"/>
          <w:szCs w:val="24"/>
        </w:rPr>
        <w:t xml:space="preserve"> will determine whether a fee revision is necessary if the hospital receives information that indicates a change in any of the sources of funds used to assess the fees, and a change in a family status that would affect any assessed fee.</w:t>
      </w:r>
      <w:bookmarkStart w:id="1" w:name="_Hlk72137648"/>
    </w:p>
    <w:p w14:paraId="03D64E9A" w14:textId="4F247589" w:rsidR="00AA0899" w:rsidRPr="00BD5371" w:rsidRDefault="00AA0899" w:rsidP="00BD5371">
      <w:pPr>
        <w:pStyle w:val="ListParagraph"/>
        <w:numPr>
          <w:ilvl w:val="0"/>
          <w:numId w:val="28"/>
        </w:numPr>
        <w:spacing w:after="0" w:line="240" w:lineRule="auto"/>
        <w:jc w:val="both"/>
        <w:rPr>
          <w:rFonts w:ascii="Arial" w:eastAsia="Verdana" w:hAnsi="Arial" w:cs="Arial"/>
          <w:b/>
          <w:sz w:val="24"/>
          <w:szCs w:val="24"/>
        </w:rPr>
      </w:pPr>
      <w:r w:rsidRPr="00BD5371">
        <w:rPr>
          <w:rFonts w:ascii="Arial" w:eastAsia="Verdana" w:hAnsi="Arial" w:cs="Arial"/>
          <w:b/>
          <w:sz w:val="24"/>
          <w:szCs w:val="24"/>
        </w:rPr>
        <w:t xml:space="preserve"> Communication of the Charity Program to Patients and Within the</w:t>
      </w:r>
    </w:p>
    <w:p w14:paraId="4F920C56" w14:textId="77777777" w:rsidR="00AA0899" w:rsidRPr="00BD5371" w:rsidRDefault="00AA0899" w:rsidP="00BD5371">
      <w:pPr>
        <w:pStyle w:val="ListParagraph"/>
        <w:ind w:left="360"/>
        <w:jc w:val="both"/>
        <w:rPr>
          <w:rFonts w:ascii="Arial" w:eastAsia="Verdana" w:hAnsi="Arial" w:cs="Arial"/>
          <w:b/>
          <w:sz w:val="24"/>
          <w:szCs w:val="24"/>
        </w:rPr>
      </w:pPr>
      <w:r w:rsidRPr="00BD5371">
        <w:rPr>
          <w:rFonts w:ascii="Arial" w:eastAsia="Verdana" w:hAnsi="Arial" w:cs="Arial"/>
          <w:b/>
          <w:sz w:val="24"/>
          <w:szCs w:val="24"/>
        </w:rPr>
        <w:t xml:space="preserve">Community. </w:t>
      </w:r>
    </w:p>
    <w:p w14:paraId="30F02765" w14:textId="76002F14" w:rsidR="00AA0899" w:rsidRPr="00BD5371" w:rsidRDefault="00AA0899" w:rsidP="00BD5371">
      <w:pPr>
        <w:pStyle w:val="ListParagraph"/>
        <w:ind w:left="360"/>
        <w:jc w:val="both"/>
        <w:rPr>
          <w:rFonts w:ascii="Arial" w:eastAsia="Verdana" w:hAnsi="Arial" w:cs="Arial"/>
          <w:sz w:val="24"/>
          <w:szCs w:val="24"/>
        </w:rPr>
      </w:pPr>
      <w:r w:rsidRPr="00BD5371">
        <w:rPr>
          <w:rFonts w:ascii="Arial" w:eastAsia="Verdana" w:hAnsi="Arial" w:cs="Arial"/>
          <w:sz w:val="24"/>
          <w:szCs w:val="24"/>
        </w:rPr>
        <w:t xml:space="preserve">Notification about charity available from the </w:t>
      </w:r>
      <w:r w:rsidR="00CA18D1">
        <w:rPr>
          <w:rFonts w:ascii="Arial" w:eastAsia="Verdana" w:hAnsi="Arial" w:cs="Arial"/>
          <w:sz w:val="24"/>
          <w:szCs w:val="24"/>
        </w:rPr>
        <w:t>TCID</w:t>
      </w:r>
      <w:r w:rsidRPr="00BD5371">
        <w:rPr>
          <w:rFonts w:ascii="Arial" w:eastAsia="Verdana" w:hAnsi="Arial" w:cs="Arial"/>
          <w:sz w:val="24"/>
          <w:szCs w:val="24"/>
        </w:rPr>
        <w:t xml:space="preserve">, which shall include a contact number, shall be disseminated by </w:t>
      </w:r>
      <w:r w:rsidR="00CA18D1">
        <w:rPr>
          <w:rFonts w:ascii="Arial" w:eastAsia="Verdana" w:hAnsi="Arial" w:cs="Arial"/>
          <w:sz w:val="24"/>
          <w:szCs w:val="24"/>
        </w:rPr>
        <w:t>the TCID</w:t>
      </w:r>
      <w:r w:rsidRPr="00BD5371">
        <w:rPr>
          <w:rFonts w:ascii="Arial" w:eastAsia="Verdana" w:hAnsi="Arial" w:cs="Arial"/>
          <w:sz w:val="24"/>
          <w:szCs w:val="24"/>
        </w:rPr>
        <w:t xml:space="preserve"> by various means, which may include, but are not limited to, the publication of notices in patient bills or in admission forms and by posting notices on patient units, admitting and registration departments, hospital business offices, and patient financial services offices that are located on </w:t>
      </w:r>
      <w:r w:rsidR="00CA18D1">
        <w:rPr>
          <w:rFonts w:ascii="Arial" w:eastAsia="Verdana" w:hAnsi="Arial" w:cs="Arial"/>
          <w:sz w:val="24"/>
          <w:szCs w:val="24"/>
        </w:rPr>
        <w:t>the TCID</w:t>
      </w:r>
      <w:r w:rsidRPr="00BD5371">
        <w:rPr>
          <w:rFonts w:ascii="Arial" w:eastAsia="Verdana" w:hAnsi="Arial" w:cs="Arial"/>
          <w:sz w:val="24"/>
          <w:szCs w:val="24"/>
        </w:rPr>
        <w:t xml:space="preserve"> campus</w:t>
      </w:r>
      <w:r w:rsidR="00CA18D1">
        <w:rPr>
          <w:rFonts w:ascii="Arial" w:eastAsia="Verdana" w:hAnsi="Arial" w:cs="Arial"/>
          <w:sz w:val="24"/>
          <w:szCs w:val="24"/>
        </w:rPr>
        <w:t>,</w:t>
      </w:r>
      <w:r w:rsidRPr="00BD5371">
        <w:rPr>
          <w:rFonts w:ascii="Arial" w:eastAsia="Verdana" w:hAnsi="Arial" w:cs="Arial"/>
          <w:sz w:val="24"/>
          <w:szCs w:val="24"/>
        </w:rPr>
        <w:t xml:space="preserve"> and at other public places as </w:t>
      </w:r>
      <w:r w:rsidR="00CA18D1">
        <w:rPr>
          <w:rFonts w:ascii="Arial" w:eastAsia="Verdana" w:hAnsi="Arial" w:cs="Arial"/>
          <w:sz w:val="24"/>
          <w:szCs w:val="24"/>
        </w:rPr>
        <w:t>TCID</w:t>
      </w:r>
      <w:r w:rsidRPr="00BD5371">
        <w:rPr>
          <w:rFonts w:ascii="Arial" w:eastAsia="Verdana" w:hAnsi="Arial" w:cs="Arial"/>
          <w:sz w:val="24"/>
          <w:szCs w:val="24"/>
        </w:rPr>
        <w:t xml:space="preserve"> may elect. </w:t>
      </w:r>
    </w:p>
    <w:p w14:paraId="0824139A" w14:textId="77777777" w:rsidR="00AA0899" w:rsidRPr="00BD5371" w:rsidRDefault="00AA0899" w:rsidP="00BD5371">
      <w:pPr>
        <w:pStyle w:val="ListParagraph"/>
        <w:ind w:left="360"/>
        <w:jc w:val="both"/>
        <w:rPr>
          <w:rFonts w:ascii="Arial" w:eastAsia="Verdana" w:hAnsi="Arial" w:cs="Arial"/>
          <w:sz w:val="24"/>
          <w:szCs w:val="24"/>
        </w:rPr>
      </w:pPr>
    </w:p>
    <w:p w14:paraId="4758FBB9" w14:textId="4015FD20" w:rsidR="00AA0899" w:rsidRPr="00BD5371" w:rsidRDefault="00AA0899" w:rsidP="00BD5371">
      <w:pPr>
        <w:pStyle w:val="ListParagraph"/>
        <w:spacing w:after="0" w:line="240" w:lineRule="auto"/>
        <w:ind w:left="360"/>
        <w:jc w:val="both"/>
        <w:rPr>
          <w:rFonts w:ascii="Arial" w:eastAsia="Verdana" w:hAnsi="Arial" w:cs="Arial"/>
          <w:sz w:val="24"/>
          <w:szCs w:val="24"/>
        </w:rPr>
      </w:pPr>
      <w:r w:rsidRPr="00BD5371">
        <w:rPr>
          <w:rFonts w:ascii="Arial" w:eastAsia="Verdana" w:hAnsi="Arial" w:cs="Arial"/>
          <w:sz w:val="24"/>
          <w:szCs w:val="24"/>
        </w:rPr>
        <w:t xml:space="preserve">The </w:t>
      </w:r>
      <w:r w:rsidR="00624948">
        <w:rPr>
          <w:rFonts w:ascii="Arial" w:eastAsia="Verdana" w:hAnsi="Arial" w:cs="Arial"/>
          <w:sz w:val="24"/>
          <w:szCs w:val="24"/>
        </w:rPr>
        <w:t>TCID</w:t>
      </w:r>
      <w:r w:rsidRPr="00BD5371">
        <w:rPr>
          <w:rFonts w:ascii="Arial" w:eastAsia="Verdana" w:hAnsi="Arial" w:cs="Arial"/>
          <w:sz w:val="24"/>
          <w:szCs w:val="24"/>
        </w:rPr>
        <w:t xml:space="preserve"> also shall ensure availability of a summary of this charity care policy on the </w:t>
      </w:r>
      <w:r w:rsidR="00624948">
        <w:rPr>
          <w:rFonts w:ascii="Arial" w:eastAsia="Verdana" w:hAnsi="Arial" w:cs="Arial"/>
          <w:sz w:val="24"/>
          <w:szCs w:val="24"/>
        </w:rPr>
        <w:t>DSHS</w:t>
      </w:r>
      <w:r w:rsidRPr="00BD5371">
        <w:rPr>
          <w:rFonts w:ascii="Arial" w:eastAsia="Verdana" w:hAnsi="Arial" w:cs="Arial"/>
          <w:sz w:val="24"/>
          <w:szCs w:val="24"/>
        </w:rPr>
        <w:t xml:space="preserve"> website, and at other places deemed appropriate by the </w:t>
      </w:r>
      <w:r w:rsidR="00624948">
        <w:rPr>
          <w:rFonts w:ascii="Arial" w:eastAsia="Verdana" w:hAnsi="Arial" w:cs="Arial"/>
          <w:sz w:val="24"/>
          <w:szCs w:val="24"/>
        </w:rPr>
        <w:t>TCID.</w:t>
      </w:r>
      <w:r w:rsidRPr="00BD5371">
        <w:rPr>
          <w:rFonts w:ascii="Arial" w:eastAsia="Verdana" w:hAnsi="Arial" w:cs="Arial"/>
          <w:sz w:val="24"/>
          <w:szCs w:val="24"/>
        </w:rPr>
        <w:t xml:space="preserve"> Such notices and summary information shall be provided in the primary languages spoken by the population serviced by </w:t>
      </w:r>
      <w:r w:rsidR="00624948">
        <w:rPr>
          <w:rFonts w:ascii="Arial" w:eastAsia="Verdana" w:hAnsi="Arial" w:cs="Arial"/>
          <w:sz w:val="24"/>
          <w:szCs w:val="24"/>
        </w:rPr>
        <w:t>the TCID</w:t>
      </w:r>
      <w:r w:rsidRPr="00BD5371">
        <w:rPr>
          <w:rFonts w:ascii="Arial" w:eastAsia="Verdana" w:hAnsi="Arial" w:cs="Arial"/>
          <w:sz w:val="24"/>
          <w:szCs w:val="24"/>
        </w:rPr>
        <w:t xml:space="preserve">. Referral of patients for charity may be made by any member of the </w:t>
      </w:r>
      <w:r w:rsidR="00900607">
        <w:rPr>
          <w:rFonts w:ascii="Arial" w:eastAsia="Verdana" w:hAnsi="Arial" w:cs="Arial"/>
          <w:sz w:val="24"/>
          <w:szCs w:val="24"/>
        </w:rPr>
        <w:t>TCID</w:t>
      </w:r>
      <w:r w:rsidRPr="00BD5371">
        <w:rPr>
          <w:rFonts w:ascii="Arial" w:eastAsia="Verdana" w:hAnsi="Arial" w:cs="Arial"/>
          <w:sz w:val="24"/>
          <w:szCs w:val="24"/>
        </w:rPr>
        <w:t xml:space="preserve"> hospital staff or medical staff, including physicians, nurses, financial counselors, social workers, case managers, chaplains, and religious sponsors. A request for charity may be made by the patient or a family member, close friend, or associate of the patient, subject to applicable privacy laws.</w:t>
      </w:r>
      <w:r w:rsidRPr="00BD5371">
        <w:rPr>
          <w:rFonts w:ascii="Arial" w:eastAsia="Verdana" w:hAnsi="Arial" w:cs="Arial"/>
          <w:b/>
          <w:sz w:val="24"/>
          <w:szCs w:val="24"/>
        </w:rPr>
        <w:t xml:space="preserve"> </w:t>
      </w:r>
    </w:p>
    <w:p w14:paraId="09156F4E" w14:textId="0FB9009B" w:rsidR="00AA0899" w:rsidRPr="00BD5371" w:rsidRDefault="00AA0899" w:rsidP="00BD5371">
      <w:pPr>
        <w:pStyle w:val="ListParagraph"/>
        <w:numPr>
          <w:ilvl w:val="0"/>
          <w:numId w:val="28"/>
        </w:numPr>
        <w:spacing w:after="0" w:line="240" w:lineRule="auto"/>
        <w:jc w:val="both"/>
        <w:rPr>
          <w:rFonts w:ascii="Arial" w:eastAsia="Verdana" w:hAnsi="Arial" w:cs="Arial"/>
          <w:sz w:val="24"/>
          <w:szCs w:val="24"/>
        </w:rPr>
      </w:pPr>
      <w:r w:rsidRPr="00BD5371">
        <w:rPr>
          <w:rFonts w:ascii="Arial" w:eastAsia="Verdana" w:hAnsi="Arial" w:cs="Arial"/>
          <w:b/>
          <w:sz w:val="24"/>
          <w:szCs w:val="24"/>
        </w:rPr>
        <w:t>Relationship to Collection Policies.</w:t>
      </w:r>
      <w:r w:rsidRPr="00BD5371">
        <w:rPr>
          <w:rFonts w:ascii="Arial" w:eastAsia="Verdana" w:hAnsi="Arial" w:cs="Arial"/>
          <w:sz w:val="24"/>
          <w:szCs w:val="24"/>
        </w:rPr>
        <w:t xml:space="preserve"> </w:t>
      </w:r>
    </w:p>
    <w:p w14:paraId="7830BC70" w14:textId="77777777" w:rsidR="00900607" w:rsidRDefault="00900607" w:rsidP="00BD5371">
      <w:pPr>
        <w:pStyle w:val="ListParagraph"/>
        <w:ind w:left="360"/>
        <w:jc w:val="both"/>
        <w:rPr>
          <w:rFonts w:ascii="Arial" w:eastAsia="Verdana" w:hAnsi="Arial" w:cs="Arial"/>
          <w:sz w:val="24"/>
          <w:szCs w:val="24"/>
        </w:rPr>
      </w:pPr>
      <w:r>
        <w:rPr>
          <w:rFonts w:ascii="Arial" w:eastAsia="Verdana" w:hAnsi="Arial" w:cs="Arial"/>
          <w:sz w:val="24"/>
          <w:szCs w:val="24"/>
        </w:rPr>
        <w:t>DSHS</w:t>
      </w:r>
      <w:r w:rsidR="00AA0899" w:rsidRPr="00BD5371">
        <w:rPr>
          <w:rFonts w:ascii="Arial" w:eastAsia="Verdana" w:hAnsi="Arial" w:cs="Arial"/>
          <w:sz w:val="24"/>
          <w:szCs w:val="24"/>
        </w:rPr>
        <w:t xml:space="preserve"> Governing Body, in coordination with the Health and Specialty Care Business Management Unit, shall develop policies and procedures for internal and external collection practices (including actions the hospital may take in the event of non-payment, including collections action and reporting to credit agencies) that take into account the extent to which the patient qualifies for charity, a patient’s good faith effort to apply for a governmental program or for charity from the </w:t>
      </w:r>
      <w:r>
        <w:rPr>
          <w:rFonts w:ascii="Arial" w:eastAsia="Verdana" w:hAnsi="Arial" w:cs="Arial"/>
          <w:sz w:val="24"/>
          <w:szCs w:val="24"/>
        </w:rPr>
        <w:t>TCID</w:t>
      </w:r>
      <w:r w:rsidR="00AA0899" w:rsidRPr="00BD5371">
        <w:rPr>
          <w:rFonts w:ascii="Arial" w:eastAsia="Verdana" w:hAnsi="Arial" w:cs="Arial"/>
          <w:sz w:val="24"/>
          <w:szCs w:val="24"/>
        </w:rPr>
        <w:t xml:space="preserve">, and a patient’s good faith effort to comply with his or her payment agreements with the </w:t>
      </w:r>
      <w:r>
        <w:rPr>
          <w:rFonts w:ascii="Arial" w:eastAsia="Verdana" w:hAnsi="Arial" w:cs="Arial"/>
          <w:sz w:val="24"/>
          <w:szCs w:val="24"/>
        </w:rPr>
        <w:t>TCID</w:t>
      </w:r>
      <w:r w:rsidR="00AA0899" w:rsidRPr="00BD5371">
        <w:rPr>
          <w:rFonts w:ascii="Arial" w:eastAsia="Verdana" w:hAnsi="Arial" w:cs="Arial"/>
          <w:sz w:val="24"/>
          <w:szCs w:val="24"/>
        </w:rPr>
        <w:t>.</w:t>
      </w:r>
    </w:p>
    <w:p w14:paraId="4E8E523D" w14:textId="13B0942A" w:rsidR="00AA0899" w:rsidRPr="00BD5371" w:rsidRDefault="00AA0899" w:rsidP="00BD5371">
      <w:pPr>
        <w:pStyle w:val="ListParagraph"/>
        <w:ind w:left="360"/>
        <w:jc w:val="both"/>
        <w:rPr>
          <w:rFonts w:ascii="Arial" w:eastAsia="Verdana" w:hAnsi="Arial" w:cs="Arial"/>
          <w:sz w:val="24"/>
          <w:szCs w:val="24"/>
        </w:rPr>
      </w:pPr>
      <w:r w:rsidRPr="00BD5371">
        <w:rPr>
          <w:rFonts w:ascii="Arial" w:eastAsia="Verdana" w:hAnsi="Arial" w:cs="Arial"/>
          <w:sz w:val="24"/>
          <w:szCs w:val="24"/>
        </w:rPr>
        <w:t xml:space="preserve"> </w:t>
      </w:r>
    </w:p>
    <w:p w14:paraId="636F4C4D" w14:textId="5D7E0963" w:rsidR="00AA0899" w:rsidRDefault="00AA0899" w:rsidP="00BD5371">
      <w:pPr>
        <w:pStyle w:val="ListParagraph"/>
        <w:ind w:left="360"/>
        <w:jc w:val="both"/>
        <w:rPr>
          <w:rFonts w:ascii="Arial" w:eastAsia="Verdana" w:hAnsi="Arial" w:cs="Arial"/>
          <w:sz w:val="24"/>
          <w:szCs w:val="24"/>
        </w:rPr>
      </w:pPr>
      <w:r w:rsidRPr="00BD5371">
        <w:rPr>
          <w:rFonts w:ascii="Arial" w:eastAsia="Verdana" w:hAnsi="Arial" w:cs="Arial"/>
          <w:sz w:val="24"/>
          <w:szCs w:val="24"/>
        </w:rPr>
        <w:t xml:space="preserve">For patients who qualify for charity and who are cooperating in good faith to resolve their discounted hospital bills, the </w:t>
      </w:r>
      <w:r w:rsidR="00900607">
        <w:rPr>
          <w:rFonts w:ascii="Arial" w:eastAsia="Verdana" w:hAnsi="Arial" w:cs="Arial"/>
          <w:sz w:val="24"/>
          <w:szCs w:val="24"/>
        </w:rPr>
        <w:t>TCID</w:t>
      </w:r>
      <w:r w:rsidRPr="00BD5371">
        <w:rPr>
          <w:rFonts w:ascii="Arial" w:eastAsia="Verdana" w:hAnsi="Arial" w:cs="Arial"/>
          <w:sz w:val="24"/>
          <w:szCs w:val="24"/>
        </w:rPr>
        <w:t xml:space="preserve"> may offer extended payment plans, will not send unpaid bills to outside collection agencies, and will cease all collection efforts. </w:t>
      </w:r>
      <w:r w:rsidR="00900607">
        <w:rPr>
          <w:rFonts w:ascii="Arial" w:eastAsia="Verdana" w:hAnsi="Arial" w:cs="Arial"/>
          <w:sz w:val="24"/>
          <w:szCs w:val="24"/>
        </w:rPr>
        <w:t>The TCID</w:t>
      </w:r>
      <w:r w:rsidRPr="00BD5371">
        <w:rPr>
          <w:rFonts w:ascii="Arial" w:eastAsia="Verdana" w:hAnsi="Arial" w:cs="Arial"/>
          <w:sz w:val="24"/>
          <w:szCs w:val="24"/>
        </w:rPr>
        <w:t xml:space="preserve"> will not impose extraordinary collections actions such as liens on primary residences or property, or other legal actions for any patient without first making reasonable efforts to determine whether that patient is eligible for charity care under this financial assistance policy. Reasonable efforts shall include:</w:t>
      </w:r>
    </w:p>
    <w:p w14:paraId="3FCEFF83" w14:textId="77777777" w:rsidR="00AA0899" w:rsidRPr="00BD5371" w:rsidRDefault="00AA0899" w:rsidP="00BD5371">
      <w:pPr>
        <w:pStyle w:val="ListParagraph"/>
        <w:numPr>
          <w:ilvl w:val="0"/>
          <w:numId w:val="35"/>
        </w:numPr>
        <w:spacing w:after="0" w:line="240" w:lineRule="auto"/>
        <w:jc w:val="both"/>
        <w:rPr>
          <w:rFonts w:ascii="Arial" w:eastAsia="Verdana" w:hAnsi="Arial" w:cs="Arial"/>
          <w:sz w:val="24"/>
          <w:szCs w:val="24"/>
        </w:rPr>
      </w:pPr>
      <w:r w:rsidRPr="00BD5371">
        <w:rPr>
          <w:rFonts w:ascii="Arial" w:eastAsia="Verdana" w:hAnsi="Arial" w:cs="Arial"/>
          <w:sz w:val="24"/>
          <w:szCs w:val="24"/>
        </w:rPr>
        <w:t>Validating that the patient owes the unpaid bills and that all sources of</w:t>
      </w:r>
    </w:p>
    <w:p w14:paraId="032D20C1" w14:textId="77777777" w:rsidR="00AA0899" w:rsidRPr="00BD5371" w:rsidRDefault="00AA0899" w:rsidP="00BD5371">
      <w:pPr>
        <w:ind w:left="720"/>
        <w:jc w:val="both"/>
        <w:rPr>
          <w:rFonts w:ascii="Arial" w:eastAsia="Verdana" w:hAnsi="Arial" w:cs="Arial"/>
          <w:sz w:val="24"/>
          <w:szCs w:val="24"/>
        </w:rPr>
      </w:pPr>
      <w:r w:rsidRPr="00BD5371">
        <w:rPr>
          <w:rFonts w:ascii="Arial" w:eastAsia="Verdana" w:hAnsi="Arial" w:cs="Arial"/>
          <w:sz w:val="24"/>
          <w:szCs w:val="24"/>
        </w:rPr>
        <w:t xml:space="preserve">third-party payment </w:t>
      </w:r>
      <w:proofErr w:type="gramStart"/>
      <w:r w:rsidRPr="00BD5371">
        <w:rPr>
          <w:rFonts w:ascii="Arial" w:eastAsia="Verdana" w:hAnsi="Arial" w:cs="Arial"/>
          <w:sz w:val="24"/>
          <w:szCs w:val="24"/>
        </w:rPr>
        <w:t>have</w:t>
      </w:r>
      <w:proofErr w:type="gramEnd"/>
      <w:r w:rsidRPr="00BD5371">
        <w:rPr>
          <w:rFonts w:ascii="Arial" w:eastAsia="Verdana" w:hAnsi="Arial" w:cs="Arial"/>
          <w:sz w:val="24"/>
          <w:szCs w:val="24"/>
        </w:rPr>
        <w:t xml:space="preserve"> been identified and billed by the hospital;</w:t>
      </w:r>
    </w:p>
    <w:p w14:paraId="754E4F9F" w14:textId="5A7A4D1E" w:rsidR="00AA0899" w:rsidRPr="00BD5371" w:rsidRDefault="00AA0899" w:rsidP="00BD5371">
      <w:pPr>
        <w:pStyle w:val="ListParagraph"/>
        <w:numPr>
          <w:ilvl w:val="0"/>
          <w:numId w:val="35"/>
        </w:numPr>
        <w:spacing w:after="0" w:line="240" w:lineRule="auto"/>
        <w:jc w:val="both"/>
        <w:rPr>
          <w:rFonts w:ascii="Arial" w:eastAsia="Verdana" w:hAnsi="Arial" w:cs="Arial"/>
          <w:sz w:val="24"/>
          <w:szCs w:val="24"/>
        </w:rPr>
      </w:pPr>
      <w:r w:rsidRPr="00BD5371">
        <w:rPr>
          <w:rFonts w:ascii="Arial" w:eastAsia="Verdana" w:hAnsi="Arial" w:cs="Arial"/>
          <w:sz w:val="24"/>
          <w:szCs w:val="24"/>
        </w:rPr>
        <w:t>Documentation that</w:t>
      </w:r>
      <w:r w:rsidR="00900607">
        <w:rPr>
          <w:rFonts w:ascii="Arial" w:eastAsia="Verdana" w:hAnsi="Arial" w:cs="Arial"/>
          <w:sz w:val="24"/>
          <w:szCs w:val="24"/>
        </w:rPr>
        <w:t xml:space="preserve"> TCID</w:t>
      </w:r>
      <w:r w:rsidRPr="00BD5371">
        <w:rPr>
          <w:rFonts w:ascii="Arial" w:eastAsia="Verdana" w:hAnsi="Arial" w:cs="Arial"/>
          <w:sz w:val="24"/>
          <w:szCs w:val="24"/>
        </w:rPr>
        <w:t xml:space="preserve"> has or has attempted to offer the patient the opportunity to apply for charity care pursuant to this policy and that the patient has not complied with the hospital’s application requirements;</w:t>
      </w:r>
    </w:p>
    <w:p w14:paraId="585179DA" w14:textId="77777777" w:rsidR="00AA0899" w:rsidRPr="00BD5371" w:rsidRDefault="00AA0899" w:rsidP="00BD5371">
      <w:pPr>
        <w:pStyle w:val="ListParagraph"/>
        <w:numPr>
          <w:ilvl w:val="0"/>
          <w:numId w:val="35"/>
        </w:numPr>
        <w:spacing w:after="0" w:line="240" w:lineRule="auto"/>
        <w:jc w:val="both"/>
        <w:rPr>
          <w:rFonts w:ascii="Arial" w:eastAsia="Verdana" w:hAnsi="Arial" w:cs="Arial"/>
          <w:sz w:val="24"/>
          <w:szCs w:val="24"/>
        </w:rPr>
      </w:pPr>
      <w:r w:rsidRPr="00BD5371">
        <w:rPr>
          <w:rFonts w:ascii="Arial" w:eastAsia="Verdana" w:hAnsi="Arial" w:cs="Arial"/>
          <w:sz w:val="24"/>
          <w:szCs w:val="24"/>
        </w:rPr>
        <w:t>Documentation that the patient does not qualify for financial assistance on a presumptive basis.</w:t>
      </w:r>
    </w:p>
    <w:p w14:paraId="48BC911D" w14:textId="77777777" w:rsidR="00AA0899" w:rsidRPr="00BD5371" w:rsidRDefault="00AA0899" w:rsidP="00BD5371">
      <w:pPr>
        <w:jc w:val="both"/>
        <w:rPr>
          <w:rFonts w:ascii="Arial" w:eastAsia="Verdana" w:hAnsi="Arial" w:cs="Arial"/>
          <w:sz w:val="24"/>
          <w:szCs w:val="24"/>
        </w:rPr>
      </w:pPr>
    </w:p>
    <w:p w14:paraId="0517D51D" w14:textId="144AF134" w:rsidR="00AA0899" w:rsidRPr="00BD5371" w:rsidRDefault="00AA0899" w:rsidP="00BD5371">
      <w:pPr>
        <w:pStyle w:val="ListParagraph"/>
        <w:numPr>
          <w:ilvl w:val="0"/>
          <w:numId w:val="28"/>
        </w:numPr>
        <w:spacing w:after="0" w:line="240" w:lineRule="auto"/>
        <w:jc w:val="both"/>
        <w:rPr>
          <w:rFonts w:ascii="Arial" w:eastAsia="Verdana" w:hAnsi="Arial" w:cs="Arial"/>
          <w:sz w:val="24"/>
          <w:szCs w:val="24"/>
        </w:rPr>
      </w:pPr>
      <w:r w:rsidRPr="00BD5371">
        <w:rPr>
          <w:rFonts w:ascii="Arial" w:eastAsia="Verdana" w:hAnsi="Arial" w:cs="Arial"/>
          <w:sz w:val="24"/>
          <w:szCs w:val="24"/>
        </w:rPr>
        <w:t>Regulatory Requirements. In implementing this Policy, the</w:t>
      </w:r>
      <w:r w:rsidR="00900607">
        <w:rPr>
          <w:rFonts w:ascii="Arial" w:eastAsia="Verdana" w:hAnsi="Arial" w:cs="Arial"/>
          <w:sz w:val="24"/>
          <w:szCs w:val="24"/>
        </w:rPr>
        <w:t xml:space="preserve"> TCID</w:t>
      </w:r>
      <w:r w:rsidRPr="00BD5371">
        <w:rPr>
          <w:rFonts w:ascii="Arial" w:eastAsia="Verdana" w:hAnsi="Arial" w:cs="Arial"/>
          <w:sz w:val="24"/>
          <w:szCs w:val="24"/>
        </w:rPr>
        <w:t xml:space="preserve"> Leadership</w:t>
      </w:r>
      <w:r w:rsidR="00900607">
        <w:rPr>
          <w:rFonts w:ascii="Arial" w:eastAsia="Verdana" w:hAnsi="Arial" w:cs="Arial"/>
          <w:sz w:val="24"/>
          <w:szCs w:val="24"/>
        </w:rPr>
        <w:t xml:space="preserve"> and</w:t>
      </w:r>
      <w:r w:rsidRPr="00BD5371">
        <w:rPr>
          <w:rFonts w:ascii="Arial" w:eastAsia="Verdana" w:hAnsi="Arial" w:cs="Arial"/>
          <w:sz w:val="24"/>
          <w:szCs w:val="24"/>
        </w:rPr>
        <w:t xml:space="preserve"> Governing Body shall comply with all other federal, state, and local laws, rules, and regulations that may apply to activities conducted pursuant to this Policy.</w:t>
      </w:r>
    </w:p>
    <w:p w14:paraId="6B10C07A" w14:textId="7E576943" w:rsidR="00AA0899" w:rsidRPr="00BD5371" w:rsidRDefault="00AA0899" w:rsidP="00BD5371">
      <w:pPr>
        <w:pStyle w:val="ListParagraph"/>
        <w:ind w:left="360"/>
        <w:jc w:val="both"/>
        <w:rPr>
          <w:rFonts w:ascii="Arial" w:eastAsia="Verdana" w:hAnsi="Arial" w:cs="Arial"/>
          <w:sz w:val="24"/>
          <w:szCs w:val="24"/>
        </w:rPr>
      </w:pPr>
    </w:p>
    <w:bookmarkEnd w:id="1"/>
    <w:p w14:paraId="591E41FC" w14:textId="7CB4F7BC" w:rsidR="00AA0899" w:rsidRPr="00BD5371" w:rsidRDefault="00AA0899" w:rsidP="00BD5371">
      <w:pPr>
        <w:spacing w:after="0" w:line="240" w:lineRule="auto"/>
        <w:ind w:left="360"/>
        <w:jc w:val="both"/>
        <w:rPr>
          <w:rFonts w:ascii="Arial" w:eastAsia="Verdana" w:hAnsi="Arial" w:cs="Arial"/>
          <w:sz w:val="24"/>
          <w:szCs w:val="24"/>
        </w:rPr>
      </w:pPr>
    </w:p>
    <w:p w14:paraId="5D3D6801" w14:textId="78D6568E" w:rsidR="00AA0899" w:rsidRPr="00BD5371" w:rsidRDefault="00AA0899" w:rsidP="00BD5371">
      <w:pPr>
        <w:pStyle w:val="ListParagraph"/>
        <w:spacing w:after="0" w:line="240" w:lineRule="auto"/>
        <w:jc w:val="both"/>
        <w:rPr>
          <w:rFonts w:ascii="Arial" w:eastAsia="Verdana" w:hAnsi="Arial" w:cs="Arial"/>
          <w:sz w:val="24"/>
          <w:szCs w:val="24"/>
        </w:rPr>
      </w:pPr>
    </w:p>
    <w:p w14:paraId="16872C7F" w14:textId="17CBC40C" w:rsidR="00AA0899" w:rsidRPr="00BD5371" w:rsidRDefault="00AA0899" w:rsidP="00BD5371">
      <w:pPr>
        <w:pStyle w:val="ListParagraph"/>
        <w:jc w:val="both"/>
        <w:rPr>
          <w:rFonts w:ascii="Arial" w:hAnsi="Arial" w:cs="Arial"/>
          <w:b/>
          <w:bCs/>
          <w:sz w:val="24"/>
          <w:szCs w:val="24"/>
        </w:rPr>
      </w:pPr>
    </w:p>
    <w:p w14:paraId="2A912F98" w14:textId="5AC2BF1B" w:rsidR="00AA0899" w:rsidRPr="00BD5371" w:rsidRDefault="00AA0899" w:rsidP="00BD5371">
      <w:pPr>
        <w:pStyle w:val="ListParagraph"/>
        <w:spacing w:after="0" w:line="240" w:lineRule="auto"/>
        <w:ind w:left="360"/>
        <w:jc w:val="both"/>
        <w:rPr>
          <w:rFonts w:ascii="Arial" w:hAnsi="Arial" w:cs="Arial"/>
          <w:bCs/>
          <w:sz w:val="24"/>
          <w:szCs w:val="24"/>
        </w:rPr>
      </w:pPr>
    </w:p>
    <w:p w14:paraId="4CAD228B" w14:textId="1EDB93FE" w:rsidR="003E121E" w:rsidRPr="00BD5371" w:rsidRDefault="003E121E" w:rsidP="00BD5371">
      <w:pPr>
        <w:jc w:val="both"/>
        <w:rPr>
          <w:rFonts w:ascii="Arial" w:hAnsi="Arial" w:cs="Arial"/>
          <w:bCs/>
          <w:sz w:val="24"/>
          <w:szCs w:val="24"/>
        </w:rPr>
      </w:pPr>
    </w:p>
    <w:p w14:paraId="78667425" w14:textId="2913015E" w:rsidR="003E121E" w:rsidRPr="00BD5371" w:rsidRDefault="003E121E" w:rsidP="00BD5371">
      <w:pPr>
        <w:jc w:val="both"/>
        <w:rPr>
          <w:rFonts w:ascii="Arial" w:hAnsi="Arial" w:cs="Arial"/>
          <w:bCs/>
          <w:sz w:val="24"/>
          <w:szCs w:val="24"/>
        </w:rPr>
      </w:pPr>
    </w:p>
    <w:p w14:paraId="37738E39" w14:textId="77777777" w:rsidR="00EA0EA9" w:rsidRPr="00BD5371" w:rsidRDefault="00EA0EA9" w:rsidP="00BD5371">
      <w:pPr>
        <w:pStyle w:val="ListParagraph"/>
        <w:tabs>
          <w:tab w:val="left" w:pos="1335"/>
        </w:tabs>
        <w:spacing w:line="240" w:lineRule="auto"/>
        <w:ind w:left="360"/>
        <w:jc w:val="both"/>
        <w:rPr>
          <w:rFonts w:ascii="Arial" w:hAnsi="Arial" w:cs="Arial"/>
          <w:b/>
          <w:sz w:val="24"/>
          <w:szCs w:val="24"/>
        </w:rPr>
      </w:pPr>
    </w:p>
    <w:p w14:paraId="1FE421CF" w14:textId="77777777" w:rsidR="001C54AB" w:rsidRPr="00BD5371" w:rsidRDefault="001C54AB" w:rsidP="00BD5371">
      <w:pPr>
        <w:pStyle w:val="ListParagraph"/>
        <w:spacing w:line="240" w:lineRule="auto"/>
        <w:ind w:left="3540" w:hanging="3180"/>
        <w:jc w:val="both"/>
        <w:rPr>
          <w:rFonts w:ascii="Arial" w:hAnsi="Arial" w:cs="Arial"/>
          <w:sz w:val="24"/>
          <w:szCs w:val="24"/>
        </w:rPr>
      </w:pPr>
    </w:p>
    <w:p w14:paraId="5CDDECF8" w14:textId="77777777" w:rsidR="001C54AB" w:rsidRPr="00BD5371" w:rsidRDefault="001C54AB" w:rsidP="00BD5371">
      <w:pPr>
        <w:ind w:left="360"/>
        <w:jc w:val="both"/>
        <w:rPr>
          <w:rFonts w:ascii="Arial" w:hAnsi="Arial" w:cs="Arial"/>
          <w:sz w:val="24"/>
          <w:szCs w:val="24"/>
        </w:rPr>
      </w:pPr>
    </w:p>
    <w:p w14:paraId="48D8D104" w14:textId="77777777" w:rsidR="001C54AB" w:rsidRPr="00BD5371" w:rsidRDefault="001C54AB" w:rsidP="00BD5371">
      <w:pPr>
        <w:ind w:left="360"/>
        <w:jc w:val="both"/>
        <w:rPr>
          <w:rFonts w:ascii="Arial" w:hAnsi="Arial" w:cs="Arial"/>
          <w:sz w:val="24"/>
          <w:szCs w:val="24"/>
        </w:rPr>
      </w:pPr>
    </w:p>
    <w:p w14:paraId="40D76803" w14:textId="22BE0199" w:rsidR="001C54AB" w:rsidRPr="00BD5371" w:rsidRDefault="001C54AB" w:rsidP="00BD5371">
      <w:pPr>
        <w:ind w:left="360"/>
        <w:jc w:val="both"/>
        <w:rPr>
          <w:rFonts w:ascii="Arial" w:hAnsi="Arial" w:cs="Arial"/>
          <w:b/>
          <w:sz w:val="24"/>
          <w:szCs w:val="24"/>
        </w:rPr>
      </w:pPr>
      <w:r w:rsidRPr="00BD5371">
        <w:rPr>
          <w:rFonts w:ascii="Arial" w:hAnsi="Arial" w:cs="Arial"/>
          <w:b/>
          <w:sz w:val="24"/>
          <w:szCs w:val="24"/>
        </w:rPr>
        <w:t>END OF POLICY</w:t>
      </w:r>
    </w:p>
    <w:sectPr w:rsidR="001C54AB" w:rsidRPr="00BD5371" w:rsidSect="00C343D4">
      <w:headerReference w:type="even" r:id="rId1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7753" w14:textId="77777777" w:rsidR="00793E32" w:rsidRDefault="00793E32" w:rsidP="00B72DA9">
      <w:pPr>
        <w:spacing w:after="0" w:line="240" w:lineRule="auto"/>
      </w:pPr>
      <w:r>
        <w:separator/>
      </w:r>
    </w:p>
  </w:endnote>
  <w:endnote w:type="continuationSeparator" w:id="0">
    <w:p w14:paraId="17FAF92E" w14:textId="77777777" w:rsidR="00793E32" w:rsidRDefault="00793E32" w:rsidP="00B7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1392" w14:textId="520D88C1" w:rsidR="00C54ACA" w:rsidRPr="00AE6F2F" w:rsidRDefault="00C54ACA" w:rsidP="00AE6F2F">
    <w:pPr>
      <w:pStyle w:val="Footer"/>
      <w:jc w:val="center"/>
      <w:rPr>
        <w:rFonts w:ascii="Times New Roman" w:hAnsi="Times New Roman" w:cs="Times New Roman"/>
        <w:sz w:val="24"/>
        <w:szCs w:val="24"/>
      </w:rPr>
    </w:pPr>
    <w:r w:rsidRPr="002A024E">
      <w:rPr>
        <w:rFonts w:ascii="Times New Roman" w:hAnsi="Times New Roman" w:cs="Times New Roman"/>
        <w:sz w:val="24"/>
        <w:szCs w:val="24"/>
      </w:rPr>
      <w:t xml:space="preserve">Page </w:t>
    </w:r>
    <w:r w:rsidRPr="002A024E">
      <w:rPr>
        <w:rStyle w:val="PageNumber"/>
        <w:rFonts w:ascii="Times New Roman" w:hAnsi="Times New Roman" w:cs="Times New Roman"/>
        <w:sz w:val="24"/>
        <w:szCs w:val="24"/>
      </w:rPr>
      <w:fldChar w:fldCharType="begin"/>
    </w:r>
    <w:r w:rsidRPr="002A024E">
      <w:rPr>
        <w:rStyle w:val="PageNumber"/>
        <w:rFonts w:ascii="Times New Roman" w:hAnsi="Times New Roman" w:cs="Times New Roman"/>
        <w:sz w:val="24"/>
        <w:szCs w:val="24"/>
      </w:rPr>
      <w:instrText xml:space="preserve"> PAGE </w:instrText>
    </w:r>
    <w:r w:rsidRPr="002A024E">
      <w:rPr>
        <w:rStyle w:val="PageNumber"/>
        <w:rFonts w:ascii="Times New Roman" w:hAnsi="Times New Roman" w:cs="Times New Roman"/>
        <w:sz w:val="24"/>
        <w:szCs w:val="24"/>
      </w:rPr>
      <w:fldChar w:fldCharType="separate"/>
    </w:r>
    <w:r w:rsidR="00182537">
      <w:rPr>
        <w:rStyle w:val="PageNumber"/>
        <w:rFonts w:ascii="Times New Roman" w:hAnsi="Times New Roman" w:cs="Times New Roman"/>
        <w:noProof/>
        <w:sz w:val="24"/>
        <w:szCs w:val="24"/>
      </w:rPr>
      <w:t>1</w:t>
    </w:r>
    <w:r w:rsidRPr="002A024E">
      <w:rPr>
        <w:rStyle w:val="PageNumber"/>
        <w:rFonts w:ascii="Times New Roman" w:hAnsi="Times New Roman" w:cs="Times New Roman"/>
        <w:sz w:val="24"/>
        <w:szCs w:val="24"/>
      </w:rPr>
      <w:fldChar w:fldCharType="end"/>
    </w:r>
    <w:r>
      <w:rPr>
        <w:rStyle w:val="PageNumber"/>
        <w:rFonts w:ascii="Times New Roman" w:hAnsi="Times New Roman" w:cs="Times New Roman"/>
        <w:sz w:val="24"/>
        <w:szCs w:val="24"/>
      </w:rPr>
      <w:t xml:space="preserve"> </w:t>
    </w:r>
    <w:r w:rsidR="00ED6025">
      <w:rPr>
        <w:rStyle w:val="PageNumber"/>
        <w:rFonts w:ascii="Times New Roman" w:hAnsi="Times New Roman" w:cs="Times New Roman"/>
        <w:sz w:val="24"/>
        <w:szCs w:val="24"/>
      </w:rPr>
      <w:t xml:space="preserve">of </w:t>
    </w:r>
    <w:r w:rsidR="009721A8">
      <w:rPr>
        <w:rStyle w:val="PageNumber"/>
        <w:rFonts w:ascii="Times New Roman" w:hAnsi="Times New Roman" w:cs="Times New Roman"/>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6FFF" w14:textId="77777777" w:rsidR="00793E32" w:rsidRDefault="00793E32" w:rsidP="00B72DA9">
      <w:pPr>
        <w:spacing w:after="0" w:line="240" w:lineRule="auto"/>
      </w:pPr>
      <w:r>
        <w:separator/>
      </w:r>
    </w:p>
  </w:footnote>
  <w:footnote w:type="continuationSeparator" w:id="0">
    <w:p w14:paraId="3E51AA66" w14:textId="77777777" w:rsidR="00793E32" w:rsidRDefault="00793E32" w:rsidP="00B72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F26E" w14:textId="07ED8DA1" w:rsidR="00C54ACA" w:rsidRDefault="00C54ACA">
    <w:pPr>
      <w:pStyle w:val="Header"/>
    </w:pPr>
  </w:p>
  <w:p w14:paraId="326F3EB2" w14:textId="77777777" w:rsidR="00C54ACA" w:rsidRDefault="00C54ACA"/>
  <w:p w14:paraId="3CF33382" w14:textId="77777777" w:rsidR="00C54ACA" w:rsidRDefault="00C54AC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09D6" w14:textId="5AD9FAB0" w:rsidR="00C54ACA" w:rsidRPr="00AE6F2F" w:rsidRDefault="00EA0EA9" w:rsidP="00AE6F2F">
    <w:pPr>
      <w:pStyle w:val="Header"/>
      <w:tabs>
        <w:tab w:val="clear" w:pos="4320"/>
        <w:tab w:val="clear" w:pos="8640"/>
        <w:tab w:val="right" w:pos="9360"/>
      </w:tabs>
      <w:rPr>
        <w:rFonts w:ascii="Times New Roman" w:hAnsi="Times New Roman" w:cs="Times New Roman"/>
        <w:sz w:val="24"/>
        <w:szCs w:val="24"/>
      </w:rPr>
    </w:pPr>
    <w:r>
      <w:rPr>
        <w:rFonts w:ascii="Times New Roman" w:hAnsi="Times New Roman" w:cs="Times New Roman"/>
        <w:sz w:val="24"/>
        <w:szCs w:val="24"/>
      </w:rPr>
      <w:t>3-Wordtitle</w:t>
    </w:r>
    <w:r w:rsidR="000C09FB" w:rsidRPr="000C09FB">
      <w:rPr>
        <w:rFonts w:ascii="Times New Roman" w:hAnsi="Times New Roman" w:cs="Times New Roman"/>
        <w:sz w:val="24"/>
        <w:szCs w:val="24"/>
      </w:rPr>
      <w:t>_</w:t>
    </w:r>
    <w:r>
      <w:rPr>
        <w:rFonts w:ascii="Times New Roman" w:hAnsi="Times New Roman" w:cs="Times New Roman"/>
        <w:sz w:val="24"/>
        <w:szCs w:val="24"/>
      </w:rPr>
      <w:t>month/year</w:t>
    </w:r>
    <w:r w:rsidR="00283D91">
      <w:rPr>
        <w:rFonts w:ascii="Times New Roman" w:hAnsi="Times New Roman" w:cs="Times New Roman"/>
        <w:sz w:val="24"/>
        <w:szCs w:val="24"/>
      </w:rPr>
      <w:t>_</w:t>
    </w:r>
    <w:r>
      <w:rPr>
        <w:rFonts w:ascii="Times New Roman" w:hAnsi="Times New Roman" w:cs="Times New Roman"/>
        <w:sz w:val="24"/>
        <w:szCs w:val="24"/>
      </w:rPr>
      <w:t>3-ltrdeptcode</w:t>
    </w:r>
    <w:r w:rsidR="00C54ACA">
      <w:rPr>
        <w:rFonts w:ascii="Times New Roman" w:hAnsi="Times New Roman" w:cs="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01C"/>
    <w:multiLevelType w:val="hybridMultilevel"/>
    <w:tmpl w:val="D520AC44"/>
    <w:lvl w:ilvl="0" w:tplc="C2CC8E3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E55B49"/>
    <w:multiLevelType w:val="hybridMultilevel"/>
    <w:tmpl w:val="A64A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969D7"/>
    <w:multiLevelType w:val="hybridMultilevel"/>
    <w:tmpl w:val="39C2568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765524C"/>
    <w:multiLevelType w:val="hybridMultilevel"/>
    <w:tmpl w:val="0DEA1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B808BD"/>
    <w:multiLevelType w:val="hybridMultilevel"/>
    <w:tmpl w:val="11F8BE7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A62EBC"/>
    <w:multiLevelType w:val="singleLevel"/>
    <w:tmpl w:val="33C2FE6E"/>
    <w:lvl w:ilvl="0">
      <w:start w:val="1"/>
      <w:numFmt w:val="decimal"/>
      <w:lvlText w:val="%1."/>
      <w:lvlJc w:val="left"/>
      <w:pPr>
        <w:tabs>
          <w:tab w:val="num" w:pos="2160"/>
        </w:tabs>
        <w:ind w:left="2160" w:hanging="720"/>
      </w:pPr>
      <w:rPr>
        <w:rFonts w:hint="default"/>
        <w:b/>
      </w:rPr>
    </w:lvl>
  </w:abstractNum>
  <w:abstractNum w:abstractNumId="6" w15:restartNumberingAfterBreak="0">
    <w:nsid w:val="13792A27"/>
    <w:multiLevelType w:val="hybridMultilevel"/>
    <w:tmpl w:val="4920C426"/>
    <w:lvl w:ilvl="0" w:tplc="29668148">
      <w:start w:val="1"/>
      <w:numFmt w:val="upperLetter"/>
      <w:lvlText w:val="%1."/>
      <w:lvlJc w:val="left"/>
      <w:pPr>
        <w:ind w:left="1380" w:hanging="360"/>
      </w:pPr>
      <w:rPr>
        <w:rFonts w:hint="default"/>
      </w:rPr>
    </w:lvl>
    <w:lvl w:ilvl="1" w:tplc="04090019">
      <w:start w:val="1"/>
      <w:numFmt w:val="lowerLetter"/>
      <w:lvlText w:val="%2."/>
      <w:lvlJc w:val="left"/>
      <w:pPr>
        <w:ind w:left="2100" w:hanging="360"/>
      </w:pPr>
    </w:lvl>
    <w:lvl w:ilvl="2" w:tplc="0409001B">
      <w:start w:val="1"/>
      <w:numFmt w:val="lowerRoman"/>
      <w:lvlText w:val="%3."/>
      <w:lvlJc w:val="right"/>
      <w:pPr>
        <w:ind w:left="2820" w:hanging="180"/>
      </w:pPr>
    </w:lvl>
    <w:lvl w:ilvl="3" w:tplc="0409000F">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7" w15:restartNumberingAfterBreak="0">
    <w:nsid w:val="15B8573D"/>
    <w:multiLevelType w:val="hybridMultilevel"/>
    <w:tmpl w:val="92740E98"/>
    <w:lvl w:ilvl="0" w:tplc="E0BE5C04">
      <w:start w:val="1"/>
      <w:numFmt w:val="decimal"/>
      <w:lvlText w:val="%1."/>
      <w:lvlJc w:val="left"/>
      <w:pPr>
        <w:ind w:left="36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7546D6"/>
    <w:multiLevelType w:val="hybridMultilevel"/>
    <w:tmpl w:val="6DDC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65699"/>
    <w:multiLevelType w:val="multilevel"/>
    <w:tmpl w:val="CF32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07B4B"/>
    <w:multiLevelType w:val="multilevel"/>
    <w:tmpl w:val="5EF4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1740D"/>
    <w:multiLevelType w:val="hybridMultilevel"/>
    <w:tmpl w:val="D0B4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40AA3"/>
    <w:multiLevelType w:val="singleLevel"/>
    <w:tmpl w:val="8BE09332"/>
    <w:lvl w:ilvl="0">
      <w:start w:val="1"/>
      <w:numFmt w:val="lowerLetter"/>
      <w:lvlText w:val="%1."/>
      <w:lvlJc w:val="left"/>
      <w:pPr>
        <w:tabs>
          <w:tab w:val="num" w:pos="2880"/>
        </w:tabs>
        <w:ind w:left="2880" w:hanging="720"/>
      </w:pPr>
      <w:rPr>
        <w:rFonts w:hint="default"/>
        <w:b/>
      </w:rPr>
    </w:lvl>
  </w:abstractNum>
  <w:abstractNum w:abstractNumId="13" w15:restartNumberingAfterBreak="0">
    <w:nsid w:val="342356EC"/>
    <w:multiLevelType w:val="hybridMultilevel"/>
    <w:tmpl w:val="0E0C5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8041E"/>
    <w:multiLevelType w:val="hybridMultilevel"/>
    <w:tmpl w:val="0926544A"/>
    <w:lvl w:ilvl="0" w:tplc="CF2EC436">
      <w:start w:val="1"/>
      <w:numFmt w:val="upperLetter"/>
      <w:lvlText w:val="%1."/>
      <w:lvlJc w:val="left"/>
      <w:pPr>
        <w:tabs>
          <w:tab w:val="num" w:pos="3465"/>
        </w:tabs>
        <w:ind w:left="3465" w:hanging="585"/>
      </w:pPr>
      <w:rPr>
        <w:rFonts w:hint="default"/>
      </w:rPr>
    </w:lvl>
    <w:lvl w:ilvl="1" w:tplc="CF2EC436">
      <w:start w:val="1"/>
      <w:numFmt w:val="upperLetter"/>
      <w:lvlText w:val="%2."/>
      <w:lvlJc w:val="left"/>
      <w:pPr>
        <w:tabs>
          <w:tab w:val="num" w:pos="1305"/>
        </w:tabs>
        <w:ind w:left="1305" w:hanging="585"/>
      </w:pPr>
      <w:rPr>
        <w:rFonts w:hint="default"/>
      </w:rPr>
    </w:lvl>
    <w:lvl w:ilvl="2" w:tplc="CAD84778">
      <w:start w:val="1"/>
      <w:numFmt w:val="decimal"/>
      <w:lvlText w:val="%3."/>
      <w:lvlJc w:val="left"/>
      <w:pPr>
        <w:tabs>
          <w:tab w:val="num" w:pos="3420"/>
        </w:tabs>
        <w:ind w:left="3420" w:hanging="720"/>
      </w:pPr>
      <w:rPr>
        <w:rFonts w:ascii="Times New Roman" w:eastAsia="Times New Roman" w:hAnsi="Times New Roman" w:cs="Times New Roman" w:hint="default"/>
      </w:rPr>
    </w:lvl>
    <w:lvl w:ilvl="3" w:tplc="559A915A">
      <w:start w:val="1"/>
      <w:numFmt w:val="lowerLetter"/>
      <w:lvlText w:val="%4."/>
      <w:lvlJc w:val="left"/>
      <w:pPr>
        <w:tabs>
          <w:tab w:val="num" w:pos="4110"/>
        </w:tabs>
        <w:ind w:left="4110" w:hanging="87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B5624B0"/>
    <w:multiLevelType w:val="hybridMultilevel"/>
    <w:tmpl w:val="101ED40C"/>
    <w:lvl w:ilvl="0" w:tplc="C0C4B75E">
      <w:start w:val="5"/>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DF21EA3"/>
    <w:multiLevelType w:val="hybridMultilevel"/>
    <w:tmpl w:val="FF5CF1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F24A00"/>
    <w:multiLevelType w:val="hybridMultilevel"/>
    <w:tmpl w:val="B554D17A"/>
    <w:lvl w:ilvl="0" w:tplc="913653D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45D831CC"/>
    <w:multiLevelType w:val="multilevel"/>
    <w:tmpl w:val="479C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6C3029"/>
    <w:multiLevelType w:val="hybridMultilevel"/>
    <w:tmpl w:val="628E6C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6D1C20"/>
    <w:multiLevelType w:val="hybridMultilevel"/>
    <w:tmpl w:val="78F84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801C2"/>
    <w:multiLevelType w:val="hybridMultilevel"/>
    <w:tmpl w:val="41F23D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D85AA1"/>
    <w:multiLevelType w:val="hybridMultilevel"/>
    <w:tmpl w:val="15CA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866F1"/>
    <w:multiLevelType w:val="singleLevel"/>
    <w:tmpl w:val="E03E6EAC"/>
    <w:lvl w:ilvl="0">
      <w:start w:val="1"/>
      <w:numFmt w:val="upperLetter"/>
      <w:lvlText w:val="%1."/>
      <w:lvlJc w:val="left"/>
      <w:pPr>
        <w:tabs>
          <w:tab w:val="num" w:pos="1410"/>
        </w:tabs>
        <w:ind w:left="1410" w:hanging="690"/>
      </w:pPr>
      <w:rPr>
        <w:rFonts w:hint="default"/>
      </w:rPr>
    </w:lvl>
  </w:abstractNum>
  <w:abstractNum w:abstractNumId="24" w15:restartNumberingAfterBreak="0">
    <w:nsid w:val="63451503"/>
    <w:multiLevelType w:val="hybridMultilevel"/>
    <w:tmpl w:val="9684ED6A"/>
    <w:lvl w:ilvl="0" w:tplc="2FDEE04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65071520"/>
    <w:multiLevelType w:val="multilevel"/>
    <w:tmpl w:val="245C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DC22EF"/>
    <w:multiLevelType w:val="multilevel"/>
    <w:tmpl w:val="C570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BC71AC"/>
    <w:multiLevelType w:val="hybridMultilevel"/>
    <w:tmpl w:val="5D6A0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175333"/>
    <w:multiLevelType w:val="hybridMultilevel"/>
    <w:tmpl w:val="241A7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3D0173"/>
    <w:multiLevelType w:val="hybridMultilevel"/>
    <w:tmpl w:val="A796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B28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C952FC"/>
    <w:multiLevelType w:val="multilevel"/>
    <w:tmpl w:val="8B5A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455C37"/>
    <w:multiLevelType w:val="hybridMultilevel"/>
    <w:tmpl w:val="0D1E9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713D39"/>
    <w:multiLevelType w:val="hybridMultilevel"/>
    <w:tmpl w:val="F67C8A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686080">
    <w:abstractNumId w:val="15"/>
  </w:num>
  <w:num w:numId="2" w16cid:durableId="1965501504">
    <w:abstractNumId w:val="0"/>
  </w:num>
  <w:num w:numId="3" w16cid:durableId="883103439">
    <w:abstractNumId w:val="19"/>
  </w:num>
  <w:num w:numId="4" w16cid:durableId="304706081">
    <w:abstractNumId w:val="14"/>
  </w:num>
  <w:num w:numId="5" w16cid:durableId="172040783">
    <w:abstractNumId w:val="23"/>
  </w:num>
  <w:num w:numId="6" w16cid:durableId="2075925936">
    <w:abstractNumId w:val="5"/>
  </w:num>
  <w:num w:numId="7" w16cid:durableId="250090684">
    <w:abstractNumId w:val="12"/>
  </w:num>
  <w:num w:numId="8" w16cid:durableId="858349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43904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9462726">
    <w:abstractNumId w:val="21"/>
  </w:num>
  <w:num w:numId="11" w16cid:durableId="2883597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0711750">
    <w:abstractNumId w:val="30"/>
  </w:num>
  <w:num w:numId="13" w16cid:durableId="62342470">
    <w:abstractNumId w:val="2"/>
  </w:num>
  <w:num w:numId="14" w16cid:durableId="1550998810">
    <w:abstractNumId w:val="3"/>
  </w:num>
  <w:num w:numId="15" w16cid:durableId="1659378774">
    <w:abstractNumId w:val="20"/>
  </w:num>
  <w:num w:numId="16" w16cid:durableId="1645813266">
    <w:abstractNumId w:val="32"/>
  </w:num>
  <w:num w:numId="17" w16cid:durableId="239021175">
    <w:abstractNumId w:val="33"/>
  </w:num>
  <w:num w:numId="18" w16cid:durableId="2037076845">
    <w:abstractNumId w:val="16"/>
  </w:num>
  <w:num w:numId="19" w16cid:durableId="312218359">
    <w:abstractNumId w:val="6"/>
  </w:num>
  <w:num w:numId="20" w16cid:durableId="558127936">
    <w:abstractNumId w:val="9"/>
  </w:num>
  <w:num w:numId="21" w16cid:durableId="1334456991">
    <w:abstractNumId w:val="18"/>
  </w:num>
  <w:num w:numId="22" w16cid:durableId="296684333">
    <w:abstractNumId w:val="10"/>
  </w:num>
  <w:num w:numId="23" w16cid:durableId="574172188">
    <w:abstractNumId w:val="31"/>
  </w:num>
  <w:num w:numId="24" w16cid:durableId="1046755968">
    <w:abstractNumId w:val="26"/>
  </w:num>
  <w:num w:numId="25" w16cid:durableId="1922520919">
    <w:abstractNumId w:val="25"/>
  </w:num>
  <w:num w:numId="26" w16cid:durableId="705372279">
    <w:abstractNumId w:val="28"/>
  </w:num>
  <w:num w:numId="27" w16cid:durableId="1596284101">
    <w:abstractNumId w:val="27"/>
  </w:num>
  <w:num w:numId="28" w16cid:durableId="1325820709">
    <w:abstractNumId w:val="7"/>
  </w:num>
  <w:num w:numId="29" w16cid:durableId="1036004850">
    <w:abstractNumId w:val="22"/>
  </w:num>
  <w:num w:numId="30" w16cid:durableId="352389989">
    <w:abstractNumId w:val="13"/>
  </w:num>
  <w:num w:numId="31" w16cid:durableId="1723401214">
    <w:abstractNumId w:val="4"/>
  </w:num>
  <w:num w:numId="32" w16cid:durableId="76174265">
    <w:abstractNumId w:val="8"/>
  </w:num>
  <w:num w:numId="33" w16cid:durableId="796485734">
    <w:abstractNumId w:val="11"/>
  </w:num>
  <w:num w:numId="34" w16cid:durableId="987129330">
    <w:abstractNumId w:val="29"/>
  </w:num>
  <w:num w:numId="35" w16cid:durableId="1518420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4F"/>
    <w:rsid w:val="0004706C"/>
    <w:rsid w:val="00063EA1"/>
    <w:rsid w:val="000C09FB"/>
    <w:rsid w:val="000D575F"/>
    <w:rsid w:val="000F2644"/>
    <w:rsid w:val="00103108"/>
    <w:rsid w:val="00115B5B"/>
    <w:rsid w:val="001206D2"/>
    <w:rsid w:val="00165F4F"/>
    <w:rsid w:val="00182537"/>
    <w:rsid w:val="001C2464"/>
    <w:rsid w:val="001C54AB"/>
    <w:rsid w:val="001E16FE"/>
    <w:rsid w:val="002462A4"/>
    <w:rsid w:val="0026454F"/>
    <w:rsid w:val="002714E7"/>
    <w:rsid w:val="00283D91"/>
    <w:rsid w:val="002A024E"/>
    <w:rsid w:val="002A6314"/>
    <w:rsid w:val="002B7D69"/>
    <w:rsid w:val="00361BF4"/>
    <w:rsid w:val="0037557E"/>
    <w:rsid w:val="00391CB5"/>
    <w:rsid w:val="003A01F1"/>
    <w:rsid w:val="003B47E3"/>
    <w:rsid w:val="003D1805"/>
    <w:rsid w:val="003E121E"/>
    <w:rsid w:val="003E5350"/>
    <w:rsid w:val="003F0C52"/>
    <w:rsid w:val="00405C56"/>
    <w:rsid w:val="0043359E"/>
    <w:rsid w:val="00443516"/>
    <w:rsid w:val="00444209"/>
    <w:rsid w:val="004603DE"/>
    <w:rsid w:val="004622FB"/>
    <w:rsid w:val="0049490F"/>
    <w:rsid w:val="0050153D"/>
    <w:rsid w:val="00504FBC"/>
    <w:rsid w:val="005129A9"/>
    <w:rsid w:val="0054356F"/>
    <w:rsid w:val="00591668"/>
    <w:rsid w:val="005B27C9"/>
    <w:rsid w:val="005C4401"/>
    <w:rsid w:val="005C57D6"/>
    <w:rsid w:val="005D2C6F"/>
    <w:rsid w:val="00624948"/>
    <w:rsid w:val="0065330E"/>
    <w:rsid w:val="006C2D26"/>
    <w:rsid w:val="006F1595"/>
    <w:rsid w:val="00706D6B"/>
    <w:rsid w:val="00725FFD"/>
    <w:rsid w:val="0073529C"/>
    <w:rsid w:val="0073753F"/>
    <w:rsid w:val="00737960"/>
    <w:rsid w:val="0074037D"/>
    <w:rsid w:val="00770595"/>
    <w:rsid w:val="0078141A"/>
    <w:rsid w:val="00786BC1"/>
    <w:rsid w:val="00793E32"/>
    <w:rsid w:val="007A7189"/>
    <w:rsid w:val="007B2F9E"/>
    <w:rsid w:val="007B7692"/>
    <w:rsid w:val="007D7868"/>
    <w:rsid w:val="007F15E2"/>
    <w:rsid w:val="0080025F"/>
    <w:rsid w:val="008576CC"/>
    <w:rsid w:val="008F311B"/>
    <w:rsid w:val="00900607"/>
    <w:rsid w:val="00924802"/>
    <w:rsid w:val="00951473"/>
    <w:rsid w:val="009721A8"/>
    <w:rsid w:val="009742A9"/>
    <w:rsid w:val="009804C4"/>
    <w:rsid w:val="009A7B3F"/>
    <w:rsid w:val="009C10AE"/>
    <w:rsid w:val="009D3E67"/>
    <w:rsid w:val="009D6EE5"/>
    <w:rsid w:val="009E3AC7"/>
    <w:rsid w:val="009F5966"/>
    <w:rsid w:val="00A0025C"/>
    <w:rsid w:val="00A10843"/>
    <w:rsid w:val="00A91F7F"/>
    <w:rsid w:val="00AA0899"/>
    <w:rsid w:val="00AB129E"/>
    <w:rsid w:val="00AB4C92"/>
    <w:rsid w:val="00AE6F2F"/>
    <w:rsid w:val="00B31674"/>
    <w:rsid w:val="00B349B6"/>
    <w:rsid w:val="00B72DA9"/>
    <w:rsid w:val="00BA6681"/>
    <w:rsid w:val="00BB063E"/>
    <w:rsid w:val="00BD5371"/>
    <w:rsid w:val="00C343D4"/>
    <w:rsid w:val="00C54ACA"/>
    <w:rsid w:val="00C6140E"/>
    <w:rsid w:val="00C62DD6"/>
    <w:rsid w:val="00CA18D1"/>
    <w:rsid w:val="00CC2879"/>
    <w:rsid w:val="00CE12D2"/>
    <w:rsid w:val="00D10D56"/>
    <w:rsid w:val="00D16187"/>
    <w:rsid w:val="00D761B6"/>
    <w:rsid w:val="00D93D14"/>
    <w:rsid w:val="00DF4252"/>
    <w:rsid w:val="00DF5209"/>
    <w:rsid w:val="00E0333E"/>
    <w:rsid w:val="00E03929"/>
    <w:rsid w:val="00E32DE1"/>
    <w:rsid w:val="00E508C6"/>
    <w:rsid w:val="00E62D1C"/>
    <w:rsid w:val="00EA0EA9"/>
    <w:rsid w:val="00EA6849"/>
    <w:rsid w:val="00EB51ED"/>
    <w:rsid w:val="00ED0AEA"/>
    <w:rsid w:val="00ED6025"/>
    <w:rsid w:val="00EF61F5"/>
    <w:rsid w:val="00EF7549"/>
    <w:rsid w:val="00F0090E"/>
    <w:rsid w:val="00F02BF5"/>
    <w:rsid w:val="00FA4CDB"/>
    <w:rsid w:val="00FC6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601E7D"/>
  <w15:docId w15:val="{B514FB4A-C90B-1E46-B318-A0A2DC3A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4AB"/>
    <w:pPr>
      <w:keepNext/>
      <w:keepLines/>
      <w:spacing w:before="240" w:after="0"/>
      <w:outlineLvl w:val="0"/>
    </w:pPr>
    <w:rPr>
      <w:rFonts w:asciiTheme="majorHAnsi" w:eastAsiaTheme="majorEastAsia" w:hAnsiTheme="majorHAnsi" w:cstheme="majorBidi"/>
      <w:color w:val="75A42E" w:themeColor="accent1" w:themeShade="BF"/>
      <w:sz w:val="32"/>
      <w:szCs w:val="32"/>
    </w:rPr>
  </w:style>
  <w:style w:type="paragraph" w:styleId="Heading3">
    <w:name w:val="heading 3"/>
    <w:basedOn w:val="Normal"/>
    <w:link w:val="Heading3Char"/>
    <w:uiPriority w:val="9"/>
    <w:qFormat/>
    <w:rsid w:val="001C54AB"/>
    <w:pPr>
      <w:spacing w:before="100" w:beforeAutospacing="1" w:after="100" w:afterAutospacing="1" w:line="240" w:lineRule="auto"/>
      <w:outlineLvl w:val="2"/>
    </w:pPr>
    <w:rPr>
      <w:rFonts w:ascii="Arial" w:eastAsia="Times New Roman" w:hAnsi="Arial" w:cs="Arial"/>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3D4"/>
    <w:pPr>
      <w:ind w:left="720"/>
      <w:contextualSpacing/>
    </w:pPr>
  </w:style>
  <w:style w:type="paragraph" w:styleId="Header">
    <w:name w:val="header"/>
    <w:basedOn w:val="Normal"/>
    <w:link w:val="HeaderChar"/>
    <w:uiPriority w:val="99"/>
    <w:unhideWhenUsed/>
    <w:rsid w:val="00B72D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B72DA9"/>
  </w:style>
  <w:style w:type="paragraph" w:styleId="Footer">
    <w:name w:val="footer"/>
    <w:basedOn w:val="Normal"/>
    <w:link w:val="FooterChar"/>
    <w:uiPriority w:val="99"/>
    <w:unhideWhenUsed/>
    <w:rsid w:val="00B72D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2DA9"/>
  </w:style>
  <w:style w:type="character" w:styleId="PageNumber">
    <w:name w:val="page number"/>
    <w:basedOn w:val="DefaultParagraphFont"/>
    <w:uiPriority w:val="99"/>
    <w:semiHidden/>
    <w:unhideWhenUsed/>
    <w:rsid w:val="00B72DA9"/>
  </w:style>
  <w:style w:type="paragraph" w:styleId="BodyTextIndent">
    <w:name w:val="Body Text Indent"/>
    <w:basedOn w:val="Normal"/>
    <w:link w:val="BodyTextIndentChar"/>
    <w:uiPriority w:val="99"/>
    <w:semiHidden/>
    <w:unhideWhenUsed/>
    <w:rsid w:val="00FA4CDB"/>
    <w:pPr>
      <w:spacing w:after="120"/>
      <w:ind w:left="360"/>
    </w:pPr>
  </w:style>
  <w:style w:type="character" w:customStyle="1" w:styleId="BodyTextIndentChar">
    <w:name w:val="Body Text Indent Char"/>
    <w:basedOn w:val="DefaultParagraphFont"/>
    <w:link w:val="BodyTextIndent"/>
    <w:uiPriority w:val="99"/>
    <w:semiHidden/>
    <w:rsid w:val="00FA4CDB"/>
  </w:style>
  <w:style w:type="character" w:styleId="Hyperlink">
    <w:name w:val="Hyperlink"/>
    <w:basedOn w:val="DefaultParagraphFont"/>
    <w:uiPriority w:val="99"/>
    <w:unhideWhenUsed/>
    <w:rsid w:val="00FA4CDB"/>
    <w:rPr>
      <w:color w:val="B8FA56" w:themeColor="hyperlink"/>
      <w:u w:val="single"/>
    </w:rPr>
  </w:style>
  <w:style w:type="character" w:styleId="CommentReference">
    <w:name w:val="annotation reference"/>
    <w:basedOn w:val="DefaultParagraphFont"/>
    <w:semiHidden/>
    <w:unhideWhenUsed/>
    <w:rsid w:val="008F311B"/>
    <w:rPr>
      <w:sz w:val="18"/>
      <w:szCs w:val="18"/>
    </w:rPr>
  </w:style>
  <w:style w:type="paragraph" w:styleId="CommentText">
    <w:name w:val="annotation text"/>
    <w:basedOn w:val="Normal"/>
    <w:link w:val="CommentTextChar"/>
    <w:uiPriority w:val="99"/>
    <w:semiHidden/>
    <w:unhideWhenUsed/>
    <w:rsid w:val="008F311B"/>
    <w:pPr>
      <w:spacing w:line="240" w:lineRule="auto"/>
    </w:pPr>
    <w:rPr>
      <w:sz w:val="24"/>
      <w:szCs w:val="24"/>
    </w:rPr>
  </w:style>
  <w:style w:type="character" w:customStyle="1" w:styleId="CommentTextChar">
    <w:name w:val="Comment Text Char"/>
    <w:basedOn w:val="DefaultParagraphFont"/>
    <w:link w:val="CommentText"/>
    <w:uiPriority w:val="99"/>
    <w:semiHidden/>
    <w:rsid w:val="008F311B"/>
    <w:rPr>
      <w:sz w:val="24"/>
      <w:szCs w:val="24"/>
    </w:rPr>
  </w:style>
  <w:style w:type="paragraph" w:styleId="CommentSubject">
    <w:name w:val="annotation subject"/>
    <w:basedOn w:val="CommentText"/>
    <w:next w:val="CommentText"/>
    <w:link w:val="CommentSubjectChar"/>
    <w:uiPriority w:val="99"/>
    <w:semiHidden/>
    <w:unhideWhenUsed/>
    <w:rsid w:val="008F311B"/>
    <w:rPr>
      <w:b/>
      <w:bCs/>
      <w:sz w:val="20"/>
      <w:szCs w:val="20"/>
    </w:rPr>
  </w:style>
  <w:style w:type="character" w:customStyle="1" w:styleId="CommentSubjectChar">
    <w:name w:val="Comment Subject Char"/>
    <w:basedOn w:val="CommentTextChar"/>
    <w:link w:val="CommentSubject"/>
    <w:uiPriority w:val="99"/>
    <w:semiHidden/>
    <w:rsid w:val="008F311B"/>
    <w:rPr>
      <w:b/>
      <w:bCs/>
      <w:sz w:val="20"/>
      <w:szCs w:val="20"/>
    </w:rPr>
  </w:style>
  <w:style w:type="paragraph" w:styleId="BalloonText">
    <w:name w:val="Balloon Text"/>
    <w:basedOn w:val="Normal"/>
    <w:link w:val="BalloonTextChar"/>
    <w:uiPriority w:val="99"/>
    <w:semiHidden/>
    <w:unhideWhenUsed/>
    <w:rsid w:val="008F31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311B"/>
    <w:rPr>
      <w:rFonts w:ascii="Lucida Grande" w:hAnsi="Lucida Grande" w:cs="Lucida Grande"/>
      <w:sz w:val="18"/>
      <w:szCs w:val="18"/>
    </w:rPr>
  </w:style>
  <w:style w:type="paragraph" w:styleId="NormalWeb">
    <w:name w:val="Normal (Web)"/>
    <w:basedOn w:val="Normal"/>
    <w:uiPriority w:val="99"/>
    <w:semiHidden/>
    <w:unhideWhenUsed/>
    <w:rsid w:val="00AE6F2F"/>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link w:val="TitleChar"/>
    <w:qFormat/>
    <w:rsid w:val="002B7D69"/>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2B7D69"/>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C54ACA"/>
    <w:pPr>
      <w:spacing w:after="120" w:line="480" w:lineRule="auto"/>
    </w:pPr>
  </w:style>
  <w:style w:type="character" w:customStyle="1" w:styleId="BodyText2Char">
    <w:name w:val="Body Text 2 Char"/>
    <w:basedOn w:val="DefaultParagraphFont"/>
    <w:link w:val="BodyText2"/>
    <w:uiPriority w:val="99"/>
    <w:semiHidden/>
    <w:rsid w:val="00C54ACA"/>
  </w:style>
  <w:style w:type="character" w:customStyle="1" w:styleId="Heading1Char">
    <w:name w:val="Heading 1 Char"/>
    <w:basedOn w:val="DefaultParagraphFont"/>
    <w:link w:val="Heading1"/>
    <w:uiPriority w:val="9"/>
    <w:rsid w:val="001C54AB"/>
    <w:rPr>
      <w:rFonts w:asciiTheme="majorHAnsi" w:eastAsiaTheme="majorEastAsia" w:hAnsiTheme="majorHAnsi" w:cstheme="majorBidi"/>
      <w:color w:val="75A42E" w:themeColor="accent1" w:themeShade="BF"/>
      <w:sz w:val="32"/>
      <w:szCs w:val="32"/>
    </w:rPr>
  </w:style>
  <w:style w:type="character" w:customStyle="1" w:styleId="Heading3Char">
    <w:name w:val="Heading 3 Char"/>
    <w:basedOn w:val="DefaultParagraphFont"/>
    <w:link w:val="Heading3"/>
    <w:uiPriority w:val="9"/>
    <w:rsid w:val="001C54AB"/>
    <w:rPr>
      <w:rFonts w:ascii="Arial" w:eastAsia="Times New Roman" w:hAnsi="Arial" w:cs="Arial"/>
      <w:b/>
      <w:bCs/>
      <w:color w:val="000000"/>
      <w:sz w:val="26"/>
      <w:szCs w:val="26"/>
    </w:rPr>
  </w:style>
  <w:style w:type="character" w:styleId="Emphasis">
    <w:name w:val="Emphasis"/>
    <w:basedOn w:val="DefaultParagraphFont"/>
    <w:uiPriority w:val="20"/>
    <w:qFormat/>
    <w:rsid w:val="001C54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3429">
      <w:bodyDiv w:val="1"/>
      <w:marLeft w:val="0"/>
      <w:marRight w:val="0"/>
      <w:marTop w:val="0"/>
      <w:marBottom w:val="0"/>
      <w:divBdr>
        <w:top w:val="none" w:sz="0" w:space="0" w:color="auto"/>
        <w:left w:val="none" w:sz="0" w:space="0" w:color="auto"/>
        <w:bottom w:val="none" w:sz="0" w:space="0" w:color="auto"/>
        <w:right w:val="none" w:sz="0" w:space="0" w:color="auto"/>
      </w:divBdr>
    </w:div>
    <w:div w:id="179438565">
      <w:bodyDiv w:val="1"/>
      <w:marLeft w:val="0"/>
      <w:marRight w:val="0"/>
      <w:marTop w:val="0"/>
      <w:marBottom w:val="0"/>
      <w:divBdr>
        <w:top w:val="none" w:sz="0" w:space="0" w:color="auto"/>
        <w:left w:val="none" w:sz="0" w:space="0" w:color="auto"/>
        <w:bottom w:val="none" w:sz="0" w:space="0" w:color="auto"/>
        <w:right w:val="none" w:sz="0" w:space="0" w:color="auto"/>
      </w:divBdr>
    </w:div>
    <w:div w:id="194580518">
      <w:bodyDiv w:val="1"/>
      <w:marLeft w:val="0"/>
      <w:marRight w:val="0"/>
      <w:marTop w:val="0"/>
      <w:marBottom w:val="0"/>
      <w:divBdr>
        <w:top w:val="none" w:sz="0" w:space="0" w:color="auto"/>
        <w:left w:val="none" w:sz="0" w:space="0" w:color="auto"/>
        <w:bottom w:val="none" w:sz="0" w:space="0" w:color="auto"/>
        <w:right w:val="none" w:sz="0" w:space="0" w:color="auto"/>
      </w:divBdr>
    </w:div>
    <w:div w:id="200168837">
      <w:bodyDiv w:val="1"/>
      <w:marLeft w:val="0"/>
      <w:marRight w:val="0"/>
      <w:marTop w:val="0"/>
      <w:marBottom w:val="0"/>
      <w:divBdr>
        <w:top w:val="none" w:sz="0" w:space="0" w:color="auto"/>
        <w:left w:val="none" w:sz="0" w:space="0" w:color="auto"/>
        <w:bottom w:val="none" w:sz="0" w:space="0" w:color="auto"/>
        <w:right w:val="none" w:sz="0" w:space="0" w:color="auto"/>
      </w:divBdr>
    </w:div>
    <w:div w:id="447820169">
      <w:bodyDiv w:val="1"/>
      <w:marLeft w:val="0"/>
      <w:marRight w:val="0"/>
      <w:marTop w:val="0"/>
      <w:marBottom w:val="0"/>
      <w:divBdr>
        <w:top w:val="none" w:sz="0" w:space="0" w:color="auto"/>
        <w:left w:val="none" w:sz="0" w:space="0" w:color="auto"/>
        <w:bottom w:val="none" w:sz="0" w:space="0" w:color="auto"/>
        <w:right w:val="none" w:sz="0" w:space="0" w:color="auto"/>
      </w:divBdr>
    </w:div>
    <w:div w:id="541864206">
      <w:bodyDiv w:val="1"/>
      <w:marLeft w:val="0"/>
      <w:marRight w:val="0"/>
      <w:marTop w:val="0"/>
      <w:marBottom w:val="0"/>
      <w:divBdr>
        <w:top w:val="none" w:sz="0" w:space="0" w:color="auto"/>
        <w:left w:val="none" w:sz="0" w:space="0" w:color="auto"/>
        <w:bottom w:val="none" w:sz="0" w:space="0" w:color="auto"/>
        <w:right w:val="none" w:sz="0" w:space="0" w:color="auto"/>
      </w:divBdr>
    </w:div>
    <w:div w:id="766118422">
      <w:bodyDiv w:val="1"/>
      <w:marLeft w:val="0"/>
      <w:marRight w:val="0"/>
      <w:marTop w:val="0"/>
      <w:marBottom w:val="0"/>
      <w:divBdr>
        <w:top w:val="none" w:sz="0" w:space="0" w:color="auto"/>
        <w:left w:val="none" w:sz="0" w:space="0" w:color="auto"/>
        <w:bottom w:val="none" w:sz="0" w:space="0" w:color="auto"/>
        <w:right w:val="none" w:sz="0" w:space="0" w:color="auto"/>
      </w:divBdr>
    </w:div>
    <w:div w:id="820855603">
      <w:bodyDiv w:val="1"/>
      <w:marLeft w:val="0"/>
      <w:marRight w:val="0"/>
      <w:marTop w:val="0"/>
      <w:marBottom w:val="0"/>
      <w:divBdr>
        <w:top w:val="none" w:sz="0" w:space="0" w:color="auto"/>
        <w:left w:val="none" w:sz="0" w:space="0" w:color="auto"/>
        <w:bottom w:val="none" w:sz="0" w:space="0" w:color="auto"/>
        <w:right w:val="none" w:sz="0" w:space="0" w:color="auto"/>
      </w:divBdr>
    </w:div>
    <w:div w:id="847912178">
      <w:bodyDiv w:val="1"/>
      <w:marLeft w:val="0"/>
      <w:marRight w:val="0"/>
      <w:marTop w:val="0"/>
      <w:marBottom w:val="0"/>
      <w:divBdr>
        <w:top w:val="none" w:sz="0" w:space="0" w:color="auto"/>
        <w:left w:val="none" w:sz="0" w:space="0" w:color="auto"/>
        <w:bottom w:val="none" w:sz="0" w:space="0" w:color="auto"/>
        <w:right w:val="none" w:sz="0" w:space="0" w:color="auto"/>
      </w:divBdr>
    </w:div>
    <w:div w:id="949626318">
      <w:bodyDiv w:val="1"/>
      <w:marLeft w:val="0"/>
      <w:marRight w:val="0"/>
      <w:marTop w:val="0"/>
      <w:marBottom w:val="0"/>
      <w:divBdr>
        <w:top w:val="none" w:sz="0" w:space="0" w:color="auto"/>
        <w:left w:val="none" w:sz="0" w:space="0" w:color="auto"/>
        <w:bottom w:val="none" w:sz="0" w:space="0" w:color="auto"/>
        <w:right w:val="none" w:sz="0" w:space="0" w:color="auto"/>
      </w:divBdr>
    </w:div>
    <w:div w:id="1082681891">
      <w:bodyDiv w:val="1"/>
      <w:marLeft w:val="0"/>
      <w:marRight w:val="0"/>
      <w:marTop w:val="0"/>
      <w:marBottom w:val="0"/>
      <w:divBdr>
        <w:top w:val="none" w:sz="0" w:space="0" w:color="auto"/>
        <w:left w:val="none" w:sz="0" w:space="0" w:color="auto"/>
        <w:bottom w:val="none" w:sz="0" w:space="0" w:color="auto"/>
        <w:right w:val="none" w:sz="0" w:space="0" w:color="auto"/>
      </w:divBdr>
    </w:div>
    <w:div w:id="1162089091">
      <w:bodyDiv w:val="1"/>
      <w:marLeft w:val="0"/>
      <w:marRight w:val="0"/>
      <w:marTop w:val="0"/>
      <w:marBottom w:val="0"/>
      <w:divBdr>
        <w:top w:val="none" w:sz="0" w:space="0" w:color="auto"/>
        <w:left w:val="none" w:sz="0" w:space="0" w:color="auto"/>
        <w:bottom w:val="none" w:sz="0" w:space="0" w:color="auto"/>
        <w:right w:val="none" w:sz="0" w:space="0" w:color="auto"/>
      </w:divBdr>
    </w:div>
    <w:div w:id="1568758341">
      <w:bodyDiv w:val="1"/>
      <w:marLeft w:val="0"/>
      <w:marRight w:val="0"/>
      <w:marTop w:val="0"/>
      <w:marBottom w:val="0"/>
      <w:divBdr>
        <w:top w:val="none" w:sz="0" w:space="0" w:color="auto"/>
        <w:left w:val="none" w:sz="0" w:space="0" w:color="auto"/>
        <w:bottom w:val="none" w:sz="0" w:space="0" w:color="auto"/>
        <w:right w:val="none" w:sz="0" w:space="0" w:color="auto"/>
      </w:divBdr>
    </w:div>
    <w:div w:id="1683701391">
      <w:bodyDiv w:val="1"/>
      <w:marLeft w:val="0"/>
      <w:marRight w:val="0"/>
      <w:marTop w:val="0"/>
      <w:marBottom w:val="0"/>
      <w:divBdr>
        <w:top w:val="none" w:sz="0" w:space="0" w:color="auto"/>
        <w:left w:val="none" w:sz="0" w:space="0" w:color="auto"/>
        <w:bottom w:val="none" w:sz="0" w:space="0" w:color="auto"/>
        <w:right w:val="none" w:sz="0" w:space="0" w:color="auto"/>
      </w:divBdr>
    </w:div>
    <w:div w:id="1774351250">
      <w:bodyDiv w:val="1"/>
      <w:marLeft w:val="0"/>
      <w:marRight w:val="0"/>
      <w:marTop w:val="0"/>
      <w:marBottom w:val="0"/>
      <w:divBdr>
        <w:top w:val="none" w:sz="0" w:space="0" w:color="auto"/>
        <w:left w:val="none" w:sz="0" w:space="0" w:color="auto"/>
        <w:bottom w:val="none" w:sz="0" w:space="0" w:color="auto"/>
        <w:right w:val="none" w:sz="0" w:space="0" w:color="auto"/>
      </w:divBdr>
    </w:div>
    <w:div w:id="1884898242">
      <w:bodyDiv w:val="1"/>
      <w:marLeft w:val="0"/>
      <w:marRight w:val="0"/>
      <w:marTop w:val="0"/>
      <w:marBottom w:val="0"/>
      <w:divBdr>
        <w:top w:val="none" w:sz="0" w:space="0" w:color="auto"/>
        <w:left w:val="none" w:sz="0" w:space="0" w:color="auto"/>
        <w:bottom w:val="none" w:sz="0" w:space="0" w:color="auto"/>
        <w:right w:val="none" w:sz="0" w:space="0" w:color="auto"/>
      </w:divBdr>
    </w:div>
    <w:div w:id="1932735654">
      <w:bodyDiv w:val="1"/>
      <w:marLeft w:val="0"/>
      <w:marRight w:val="0"/>
      <w:marTop w:val="0"/>
      <w:marBottom w:val="0"/>
      <w:divBdr>
        <w:top w:val="none" w:sz="0" w:space="0" w:color="auto"/>
        <w:left w:val="none" w:sz="0" w:space="0" w:color="auto"/>
        <w:bottom w:val="none" w:sz="0" w:space="0" w:color="auto"/>
        <w:right w:val="none" w:sz="0" w:space="0" w:color="auto"/>
      </w:divBdr>
    </w:div>
    <w:div w:id="2056351303">
      <w:bodyDiv w:val="1"/>
      <w:marLeft w:val="0"/>
      <w:marRight w:val="0"/>
      <w:marTop w:val="0"/>
      <w:marBottom w:val="0"/>
      <w:divBdr>
        <w:top w:val="none" w:sz="0" w:space="0" w:color="auto"/>
        <w:left w:val="none" w:sz="0" w:space="0" w:color="auto"/>
        <w:bottom w:val="none" w:sz="0" w:space="0" w:color="auto"/>
        <w:right w:val="none" w:sz="0" w:space="0" w:color="auto"/>
      </w:divBdr>
    </w:div>
    <w:div w:id="20949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CEE510BCC5CD4D925FB3DE1D0AB43E" ma:contentTypeVersion="2" ma:contentTypeDescription="Create a new document." ma:contentTypeScope="" ma:versionID="f83bd6563d3b9e974bb3d2bd5ed27043">
  <xsd:schema xmlns:xsd="http://www.w3.org/2001/XMLSchema" xmlns:xs="http://www.w3.org/2001/XMLSchema" xmlns:p="http://schemas.microsoft.com/office/2006/metadata/properties" xmlns:ns2="f3b5ca94-c1e9-414d-b7e4-933d0f99e3fc" targetNamespace="http://schemas.microsoft.com/office/2006/metadata/properties" ma:root="true" ma:fieldsID="ff23eb1aec93ff8edfad738226602cb7" ns2:_="">
    <xsd:import namespace="f3b5ca94-c1e9-414d-b7e4-933d0f99e3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5ca94-c1e9-414d-b7e4-933d0f99e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699D1-2916-44B5-BA1D-B6759F746F81}">
  <ds:schemaRefs>
    <ds:schemaRef ds:uri="http://schemas.microsoft.com/sharepoint/v3/contenttype/forms"/>
  </ds:schemaRefs>
</ds:datastoreItem>
</file>

<file path=customXml/itemProps2.xml><?xml version="1.0" encoding="utf-8"?>
<ds:datastoreItem xmlns:ds="http://schemas.openxmlformats.org/officeDocument/2006/customXml" ds:itemID="{C81C760E-AE85-4BEE-BBD1-4EBAB10E7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5ca94-c1e9-414d-b7e4-933d0f99e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8CE44-C7FB-44D5-B025-42AE54F0BC22}">
  <ds:schemaRefs>
    <ds:schemaRef ds:uri="http://schemas.openxmlformats.org/officeDocument/2006/bibliography"/>
  </ds:schemaRefs>
</ds:datastoreItem>
</file>

<file path=customXml/itemProps4.xml><?xml version="1.0" encoding="utf-8"?>
<ds:datastoreItem xmlns:ds="http://schemas.openxmlformats.org/officeDocument/2006/customXml" ds:itemID="{1351B064-126E-4CB8-A378-9AE4DB46F5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Guenther,Cynthia V (DSHS)</dc:creator>
  <cp:keywords/>
  <dc:description/>
  <cp:lastModifiedBy>Maldonado,Sebastian (DSHS)</cp:lastModifiedBy>
  <cp:revision>2</cp:revision>
  <dcterms:created xsi:type="dcterms:W3CDTF">2023-03-24T15:16:00Z</dcterms:created>
  <dcterms:modified xsi:type="dcterms:W3CDTF">2023-03-24T15:16:00Z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0x010100E2CEE510BCC5CD4D925FB3DE1D0AB43E</vt:lpwstr>
  </property>
</Properties>
</file>